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i w:val="1"/>
          <w:sz w:val="28"/>
          <w:szCs w:val="28"/>
        </w:rPr>
      </w:pPr>
      <w:bookmarkStart w:colFirst="0" w:colLast="0" w:name="_gjdgxs" w:id="0"/>
      <w:bookmarkEnd w:id="0"/>
      <w:r w:rsidDel="00000000" w:rsidR="00000000" w:rsidRPr="00000000">
        <w:rPr>
          <w:rFonts w:ascii="Times New Roman" w:cs="Times New Roman" w:eastAsia="Times New Roman" w:hAnsi="Times New Roman"/>
          <w:i w:val="1"/>
          <w:sz w:val="28"/>
          <w:szCs w:val="28"/>
          <w:rtl w:val="0"/>
        </w:rPr>
        <w:t xml:space="preserve">Комунальне підприємство «ДЖЕРЕЛО-20» Калинівської селищної ради</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04">
      <w:pPr>
        <w:spacing w:after="0" w:before="28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ОБҐРУНТУВАННЯ </w:t>
      </w:r>
    </w:p>
    <w:p w:rsidR="00000000" w:rsidDel="00000000" w:rsidP="00000000" w:rsidRDefault="00000000" w:rsidRPr="00000000" w14:paraId="00000005">
      <w:pPr>
        <w:spacing w:after="280"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технічних та якісних характеристик </w:t>
      </w:r>
      <w:r w:rsidDel="00000000" w:rsidR="00000000" w:rsidRPr="00000000">
        <w:rPr>
          <w:rFonts w:ascii="Times New Roman" w:cs="Times New Roman" w:eastAsia="Times New Roman" w:hAnsi="Times New Roman"/>
          <w:b w:val="1"/>
          <w:sz w:val="20"/>
          <w:szCs w:val="20"/>
          <w:rtl w:val="0"/>
        </w:rPr>
        <w:t xml:space="preserve">закупівлі електричної енергії, </w:t>
      </w:r>
      <w:r w:rsidDel="00000000" w:rsidR="00000000" w:rsidRPr="00000000">
        <w:rPr>
          <w:rFonts w:ascii="Times New Roman" w:cs="Times New Roman" w:eastAsia="Times New Roman" w:hAnsi="Times New Roman"/>
          <w:sz w:val="20"/>
          <w:szCs w:val="20"/>
          <w:rtl w:val="0"/>
        </w:rPr>
        <w:t xml:space="preserve">розміру бюджетного призначення, очікуваної вартості предмета закупівлі</w:t>
      </w:r>
      <w:r w:rsidDel="00000000" w:rsidR="00000000" w:rsidRPr="00000000">
        <w:rPr>
          <w:rtl w:val="0"/>
        </w:rPr>
      </w:r>
    </w:p>
    <w:p w:rsidR="00000000" w:rsidDel="00000000" w:rsidP="00000000" w:rsidRDefault="00000000" w:rsidRPr="00000000" w14:paraId="00000006">
      <w:pPr>
        <w:spacing w:after="280" w:before="28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(оприлюднюється на виконання постанови КМУ № 710 від 11.10.2016 «Про ефективне використання державних коштів» (зі змінами))</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 </w:t>
      </w:r>
      <w:r w:rsidDel="00000000" w:rsidR="00000000" w:rsidRPr="00000000">
        <w:rPr>
          <w:rFonts w:ascii="Times New Roman" w:cs="Times New Roman" w:eastAsia="Times New Roman" w:hAnsi="Times New Roman"/>
          <w:sz w:val="20"/>
          <w:szCs w:val="20"/>
          <w:rtl w:val="0"/>
        </w:rPr>
        <w:t xml:space="preserve">Комунальне підприємство «ДЖЕРЕЛО-20» Калинівської селищної ради ; ЄДРПОУ-  39940162; </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категорія:</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юридичні особи, які забезпечують потреби держави або територіальної громади</w:t>
      </w:r>
      <w:r w:rsidDel="00000000" w:rsidR="00000000" w:rsidRPr="00000000">
        <w:rPr>
          <w:rtl w:val="0"/>
        </w:rPr>
      </w:r>
    </w:p>
    <w:p w:rsidR="00000000" w:rsidDel="00000000" w:rsidP="00000000" w:rsidRDefault="00000000" w:rsidRPr="00000000" w14:paraId="00000009">
      <w:pP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Del="00000000" w:rsidR="00000000" w:rsidRPr="00000000">
        <w:rPr>
          <w:rFonts w:ascii="Times New Roman" w:cs="Times New Roman" w:eastAsia="Times New Roman" w:hAnsi="Times New Roman"/>
          <w:sz w:val="20"/>
          <w:szCs w:val="20"/>
          <w:rtl w:val="0"/>
        </w:rPr>
        <w:t xml:space="preserve"> Електрична енергія (ДК 021:2015 – 09310000-5 «Електрична енергія»). </w:t>
      </w:r>
    </w:p>
    <w:p w:rsidR="00000000" w:rsidDel="00000000" w:rsidP="00000000" w:rsidRDefault="00000000" w:rsidRPr="00000000" w14:paraId="0000000A">
      <w:pPr>
        <w:spacing w:after="280" w:before="280" w:line="240" w:lineRule="auto"/>
        <w:jc w:val="both"/>
        <w:rPr>
          <w:rFonts w:ascii="Times New Roman" w:cs="Times New Roman" w:eastAsia="Times New Roman" w:hAnsi="Times New Roman"/>
          <w:sz w:val="20"/>
          <w:szCs w:val="20"/>
        </w:rPr>
      </w:pPr>
      <w:bookmarkStart w:colFirst="0" w:colLast="0" w:name="_30j0zll" w:id="1"/>
      <w:bookmarkEnd w:id="1"/>
      <w:r w:rsidDel="00000000" w:rsidR="00000000" w:rsidRPr="00000000">
        <w:rPr>
          <w:rFonts w:ascii="Times New Roman" w:cs="Times New Roman" w:eastAsia="Times New Roman" w:hAnsi="Times New Roman"/>
          <w:b w:val="1"/>
          <w:sz w:val="20"/>
          <w:szCs w:val="20"/>
          <w:rtl w:val="0"/>
        </w:rPr>
        <w:t xml:space="preserve">Вид та ідентифікатор процедури закупівлі:</w:t>
      </w:r>
      <w:r w:rsidDel="00000000" w:rsidR="00000000" w:rsidRPr="00000000">
        <w:rPr>
          <w:rFonts w:ascii="Times New Roman" w:cs="Times New Roman" w:eastAsia="Times New Roman" w:hAnsi="Times New Roman"/>
          <w:sz w:val="20"/>
          <w:szCs w:val="20"/>
          <w:rtl w:val="0"/>
        </w:rPr>
        <w:t xml:space="preserve"> UA-2024-11-29-011144-a</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Очікувана вартість та обґрунтування очікуваної вартості предмета закупівлі:</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3 093 200,00 грн</w:t>
      </w:r>
      <w:r w:rsidDel="00000000" w:rsidR="00000000" w:rsidRPr="00000000">
        <w:rPr>
          <w:rFonts w:ascii="Times New Roman" w:cs="Times New Roman" w:eastAsia="Times New Roman" w:hAnsi="Times New Roman"/>
          <w:sz w:val="20"/>
          <w:szCs w:val="20"/>
          <w:rtl w:val="0"/>
        </w:rPr>
        <w:t xml:space="preserve">.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2024.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000000" w:rsidDel="00000000" w:rsidP="00000000" w:rsidRDefault="00000000" w:rsidRPr="00000000" w14:paraId="0000000C">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w:t>
      </w:r>
    </w:p>
    <w:p w:rsidR="00000000" w:rsidDel="00000000" w:rsidP="00000000" w:rsidRDefault="00000000" w:rsidRPr="00000000" w14:paraId="0000000D">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Нормативно-правове регулювання.</w:t>
      </w:r>
      <w:r w:rsidDel="00000000" w:rsidR="00000000" w:rsidRPr="00000000">
        <w:rPr>
          <w:rFonts w:ascii="Times New Roman" w:cs="Times New Roman" w:eastAsia="Times New Roman" w:hAnsi="Times New Roman"/>
          <w:sz w:val="20"/>
          <w:szCs w:val="20"/>
          <w:rtl w:val="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w:t>
      </w:r>
      <w:r w:rsidDel="00000000" w:rsidR="00000000" w:rsidRPr="00000000">
        <w:rPr>
          <w:rFonts w:ascii="Times New Roman" w:cs="Times New Roman" w:eastAsia="Times New Roman" w:hAnsi="Times New Roman"/>
          <w:sz w:val="20"/>
          <w:szCs w:val="20"/>
          <w:highlight w:val="white"/>
          <w:rtl w:val="0"/>
        </w:rPr>
        <w:t xml:space="preserve">Особливостями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w:t>
      </w:r>
      <w:r w:rsidDel="00000000" w:rsidR="00000000" w:rsidRPr="00000000">
        <w:rPr>
          <w:rFonts w:ascii="Times New Roman" w:cs="Times New Roman" w:eastAsia="Times New Roman" w:hAnsi="Times New Roman"/>
          <w:sz w:val="20"/>
          <w:szCs w:val="20"/>
          <w:rtl w:val="0"/>
        </w:rPr>
        <w:t xml:space="preserve">та іншими нормативно-правовими актами, що стосуються предмета закупівлі.</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Загальні положення.</w:t>
      </w:r>
      <w:r w:rsidDel="00000000" w:rsidR="00000000" w:rsidRPr="00000000">
        <w:rPr>
          <w:rFonts w:ascii="Times New Roman" w:cs="Times New Roman" w:eastAsia="Times New Roman" w:hAnsi="Times New Roman"/>
          <w:sz w:val="20"/>
          <w:szCs w:val="20"/>
          <w:rtl w:val="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rsidR="00000000" w:rsidDel="00000000" w:rsidP="00000000" w:rsidRDefault="00000000" w:rsidRPr="00000000" w14:paraId="00000010">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hyperlink r:id="rId6">
        <w:r w:rsidDel="00000000" w:rsidR="00000000" w:rsidRPr="00000000">
          <w:rPr>
            <w:rFonts w:ascii="Times New Roman" w:cs="Times New Roman" w:eastAsia="Times New Roman" w:hAnsi="Times New Roman"/>
            <w:color w:val="0000ff"/>
            <w:sz w:val="20"/>
            <w:szCs w:val="20"/>
            <w:u w:val="single"/>
            <w:rtl w:val="0"/>
          </w:rPr>
          <w:t xml:space="preserve">Електрична енергія</w:t>
        </w:r>
      </w:hyperlink>
      <w:r w:rsidDel="00000000" w:rsidR="00000000" w:rsidRPr="00000000">
        <w:rPr>
          <w:rFonts w:ascii="Times New Roman" w:cs="Times New Roman" w:eastAsia="Times New Roman" w:hAnsi="Times New Roman"/>
          <w:sz w:val="20"/>
          <w:szCs w:val="20"/>
          <w:rtl w:val="0"/>
        </w:rPr>
        <w:t xml:space="preserve">  /  </w:t>
      </w:r>
      <w:hyperlink r:id="rId7">
        <w:r w:rsidDel="00000000" w:rsidR="00000000" w:rsidRPr="00000000">
          <w:rPr>
            <w:rFonts w:ascii="Times New Roman" w:cs="Times New Roman" w:eastAsia="Times New Roman" w:hAnsi="Times New Roman"/>
            <w:color w:val="0000ff"/>
            <w:sz w:val="20"/>
            <w:szCs w:val="20"/>
            <w:u w:val="single"/>
            <w:rtl w:val="0"/>
          </w:rPr>
          <w:t xml:space="preserve">Ліцензування</w:t>
        </w:r>
      </w:hyperlink>
      <w:r w:rsidDel="00000000" w:rsidR="00000000" w:rsidRPr="00000000">
        <w:rPr>
          <w:rFonts w:ascii="Times New Roman" w:cs="Times New Roman" w:eastAsia="Times New Roman" w:hAnsi="Times New Roman"/>
          <w:sz w:val="20"/>
          <w:szCs w:val="20"/>
          <w:rtl w:val="0"/>
        </w:rPr>
        <w:t xml:space="preserve">  /  </w:t>
      </w:r>
      <w:hyperlink r:id="rId8">
        <w:r w:rsidDel="00000000" w:rsidR="00000000" w:rsidRPr="00000000">
          <w:rPr>
            <w:rFonts w:ascii="Times New Roman" w:cs="Times New Roman" w:eastAsia="Times New Roman" w:hAnsi="Times New Roman"/>
            <w:color w:val="0000ff"/>
            <w:sz w:val="20"/>
            <w:szCs w:val="20"/>
            <w:u w:val="single"/>
            <w:rtl w:val="0"/>
          </w:rPr>
          <w:t xml:space="preserve">Реєстри ліцензіатів</w:t>
        </w:r>
      </w:hyperlink>
      <w:r w:rsidDel="00000000" w:rsidR="00000000" w:rsidRPr="00000000">
        <w:rPr>
          <w:rFonts w:ascii="Times New Roman" w:cs="Times New Roman" w:eastAsia="Times New Roman" w:hAnsi="Times New Roman"/>
          <w:sz w:val="20"/>
          <w:szCs w:val="20"/>
          <w:rtl w:val="0"/>
        </w:rPr>
        <w:t xml:space="preserve"> (вид діяльності — постачання електричної енергії). </w:t>
      </w:r>
    </w:p>
    <w:p w:rsidR="00000000" w:rsidDel="00000000" w:rsidP="00000000" w:rsidRDefault="00000000" w:rsidRPr="00000000" w14:paraId="00000012">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Електропостачальник повинен забезпечити поставку електричної енергії на об’єкти замовника, які знаходиться на території Калинівської селищної ради (Таблиця 1) 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000000" w:rsidDel="00000000" w:rsidP="00000000" w:rsidRDefault="00000000" w:rsidRPr="00000000" w14:paraId="00000013">
      <w:pPr>
        <w:spacing w:after="120" w:line="240" w:lineRule="auto"/>
        <w:ind w:firstLine="70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Обґрунтування технічних характеристик. </w:t>
      </w:r>
    </w:p>
    <w:p w:rsidR="00000000" w:rsidDel="00000000" w:rsidP="00000000" w:rsidRDefault="00000000" w:rsidRPr="00000000" w14:paraId="00000015">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Термін постачання — з 01.01.2025р. по 31.12.20225р. </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p>
    <w:p w:rsidR="00000000" w:rsidDel="00000000" w:rsidP="00000000" w:rsidRDefault="00000000" w:rsidRPr="00000000" w14:paraId="00000017">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Del="00000000" w:rsidR="00000000" w:rsidRPr="00000000">
        <w:rPr>
          <w:rFonts w:ascii="Times New Roman" w:cs="Times New Roman" w:eastAsia="Times New Roman" w:hAnsi="Times New Roman"/>
          <w:b w:val="1"/>
          <w:sz w:val="20"/>
          <w:szCs w:val="20"/>
          <w:rtl w:val="0"/>
        </w:rPr>
        <w:t xml:space="preserve">380 000 кВт. год на 2025р.</w:t>
      </w:r>
      <w:r w:rsidDel="00000000" w:rsidR="00000000" w:rsidRPr="00000000">
        <w:rPr>
          <w:rtl w:val="0"/>
        </w:rPr>
      </w:r>
    </w:p>
    <w:p w:rsidR="00000000" w:rsidDel="00000000" w:rsidP="00000000" w:rsidRDefault="00000000" w:rsidRPr="00000000" w14:paraId="00000018">
      <w:pPr>
        <w:spacing w:after="0" w:line="240" w:lineRule="auto"/>
        <w:ind w:firstLine="70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Обґрунтування якісних характеристик</w:t>
      </w:r>
      <w:r w:rsidDel="00000000" w:rsidR="00000000" w:rsidRPr="00000000">
        <w:rPr>
          <w:rFonts w:ascii="Times New Roman" w:cs="Times New Roman" w:eastAsia="Times New Roman" w:hAnsi="Times New Roman"/>
          <w:sz w:val="20"/>
          <w:szCs w:val="20"/>
          <w:rtl w:val="0"/>
        </w:rPr>
        <w:t xml:space="preserve">. Пунктом 1.1.2 пункту 1.1 розділу І ПРРЕЕ визначено, що </w:t>
      </w:r>
      <w:bookmarkStart w:colFirst="0" w:colLast="0" w:name="1fob9te" w:id="2"/>
      <w:bookmarkEnd w:id="2"/>
      <w:r w:rsidDel="00000000" w:rsidR="00000000" w:rsidRPr="00000000">
        <w:rPr>
          <w:rFonts w:ascii="Times New Roman" w:cs="Times New Roman" w:eastAsia="Times New Roman" w:hAnsi="Times New Roman"/>
          <w:sz w:val="20"/>
          <w:szCs w:val="20"/>
          <w:rtl w:val="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colFirst="0" w:colLast="0" w:name="3znysh7" w:id="3"/>
      <w:bookmarkEnd w:id="3"/>
      <w:r w:rsidDel="00000000" w:rsidR="00000000" w:rsidRPr="00000000">
        <w:rPr>
          <w:rFonts w:ascii="Times New Roman" w:cs="Times New Roman" w:eastAsia="Times New Roman" w:hAnsi="Times New Roman"/>
          <w:sz w:val="20"/>
          <w:szCs w:val="20"/>
          <w:rtl w:val="0"/>
        </w:rPr>
        <w:t xml:space="preserve">якість електричної енергії.</w:t>
      </w:r>
    </w:p>
    <w:p w:rsidR="00000000" w:rsidDel="00000000" w:rsidP="00000000" w:rsidRDefault="00000000" w:rsidRPr="00000000" w14:paraId="0000001A">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w:t>
      </w:r>
    </w:p>
    <w:p w:rsidR="00000000" w:rsidDel="00000000" w:rsidP="00000000" w:rsidRDefault="00000000" w:rsidRPr="00000000" w14:paraId="0000001B">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Згідно зі статтею 18 Закону показники якості електропостачання повинні відповідати величинам, що затверджені НКРЕКП. </w:t>
      </w:r>
    </w:p>
    <w:p w:rsidR="00000000" w:rsidDel="00000000" w:rsidP="00000000" w:rsidRDefault="00000000" w:rsidRPr="00000000" w14:paraId="0000001C">
      <w:pPr>
        <w:shd w:fill="ffffff" w:val="clea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rsidR="00000000" w:rsidDel="00000000" w:rsidP="00000000" w:rsidRDefault="00000000" w:rsidRPr="00000000" w14:paraId="0000001D">
      <w:pPr>
        <w:shd w:fill="ffffff" w:val="clea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ПЕРЕЛІК</w:t>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об’єктів та точок комерційного обліку споживача</w:t>
      </w:r>
    </w:p>
    <w:p w:rsidR="00000000" w:rsidDel="00000000" w:rsidP="00000000" w:rsidRDefault="00000000" w:rsidRPr="00000000" w14:paraId="00000021">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Таблиця 1</w:t>
      </w:r>
    </w:p>
    <w:tbl>
      <w:tblPr>
        <w:tblStyle w:val="Table1"/>
        <w:tblW w:w="102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2"/>
        <w:gridCol w:w="2010"/>
        <w:gridCol w:w="3643"/>
        <w:gridCol w:w="3866"/>
        <w:tblGridChange w:id="0">
          <w:tblGrid>
            <w:gridCol w:w="762"/>
            <w:gridCol w:w="2010"/>
            <w:gridCol w:w="3643"/>
            <w:gridCol w:w="38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Адреса об’єкта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Вид</w:t>
            </w:r>
            <w:r w:rsidDel="00000000" w:rsidR="00000000" w:rsidRPr="00000000">
              <w:rPr>
                <w:rtl w:val="0"/>
              </w:rPr>
              <w:t xml:space="preserve"> </w:t>
            </w:r>
            <w:r w:rsidDel="00000000" w:rsidR="00000000" w:rsidRPr="00000000">
              <w:rPr>
                <w:rFonts w:ascii="Times New Roman" w:cs="Times New Roman" w:eastAsia="Times New Roman" w:hAnsi="Times New Roman"/>
                <w:b w:val="1"/>
                <w:sz w:val="20"/>
                <w:szCs w:val="20"/>
                <w:rtl w:val="0"/>
              </w:rPr>
              <w:t xml:space="preserve">об’єкта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ЕІС-код(и) точки (точок) комерційного обліку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свердловина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62Z1586933982008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свердловина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62Z8061518408668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Нежитлове приміщення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62Z0714343776733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КНС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62Z5790638895569</w:t>
            </w:r>
          </w:p>
          <w:p w:rsidR="00000000" w:rsidDel="00000000" w:rsidP="00000000" w:rsidRDefault="00000000" w:rsidRPr="00000000" w14:paraId="00000037">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62Z4214435764771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Нежитлове приміщення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62Z3412456357952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Нежитлове приміщення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62Z62Z67101165515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насосна станція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62Z22185399998524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насосна станція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62Z0154198140693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насосна станція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62Z3379616900270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с.Плесецьке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свердловина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62Z5520807743012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насосна станція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62Z7412323852378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с.Данилівка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Житловий масив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62Z5770221723063</w:t>
            </w:r>
          </w:p>
          <w:p w:rsidR="00000000" w:rsidDel="00000000" w:rsidP="00000000" w:rsidRDefault="00000000" w:rsidRPr="00000000" w14:paraId="00000058">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(62Z3330920193004,</w:t>
            </w:r>
          </w:p>
          <w:p w:rsidR="00000000" w:rsidDel="00000000" w:rsidP="00000000" w:rsidRDefault="00000000" w:rsidRPr="00000000" w14:paraId="00000059">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62Z8442977943859,</w:t>
            </w:r>
          </w:p>
          <w:p w:rsidR="00000000" w:rsidDel="00000000" w:rsidP="00000000" w:rsidRDefault="00000000" w:rsidRPr="00000000" w14:paraId="0000005A">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62Z7295185446510,</w:t>
            </w:r>
          </w:p>
          <w:p w:rsidR="00000000" w:rsidDel="00000000" w:rsidP="00000000" w:rsidRDefault="00000000" w:rsidRPr="00000000" w14:paraId="0000005B">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62Z0374300217879,</w:t>
            </w:r>
          </w:p>
          <w:p w:rsidR="00000000" w:rsidDel="00000000" w:rsidP="00000000" w:rsidRDefault="00000000" w:rsidRPr="00000000" w14:paraId="0000005C">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62Z5779577162069,</w:t>
            </w:r>
          </w:p>
          <w:p w:rsidR="00000000" w:rsidDel="00000000" w:rsidP="00000000" w:rsidRDefault="00000000" w:rsidRPr="00000000" w14:paraId="0000005D">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62Z7561390025811,</w:t>
            </w:r>
          </w:p>
          <w:p w:rsidR="00000000" w:rsidDel="00000000" w:rsidP="00000000" w:rsidRDefault="00000000" w:rsidRPr="00000000" w14:paraId="0000005E">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62Z0636447028418)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с.Данилівка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16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Житловий масив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62Z7915791955911</w:t>
            </w:r>
          </w:p>
          <w:p w:rsidR="00000000" w:rsidDel="00000000" w:rsidP="00000000" w:rsidRDefault="00000000" w:rsidRPr="00000000" w14:paraId="00000063">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62Z1223399126074</w:t>
            </w:r>
          </w:p>
          <w:p w:rsidR="00000000" w:rsidDel="00000000" w:rsidP="00000000" w:rsidRDefault="00000000" w:rsidRPr="00000000" w14:paraId="00000064">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(62Z9954406170325,</w:t>
            </w:r>
          </w:p>
          <w:p w:rsidR="00000000" w:rsidDel="00000000" w:rsidP="00000000" w:rsidRDefault="00000000" w:rsidRPr="00000000" w14:paraId="00000065">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62Z0470846074509,</w:t>
            </w:r>
          </w:p>
          <w:p w:rsidR="00000000" w:rsidDel="00000000" w:rsidP="00000000" w:rsidRDefault="00000000" w:rsidRPr="00000000" w14:paraId="00000066">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62Z4227755695150,</w:t>
            </w:r>
          </w:p>
          <w:p w:rsidR="00000000" w:rsidDel="00000000" w:rsidP="00000000" w:rsidRDefault="00000000" w:rsidRPr="00000000" w14:paraId="00000067">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62Z5852835620787,</w:t>
            </w:r>
          </w:p>
          <w:p w:rsidR="00000000" w:rsidDel="00000000" w:rsidP="00000000" w:rsidRDefault="00000000" w:rsidRPr="00000000" w14:paraId="00000068">
            <w:pPr>
              <w:spacing w:after="0" w:line="25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62Z2272812489005)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селище Калинівка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Rule="auto"/>
              <w:jc w:val="center"/>
              <w:rPr>
                <w:rFonts w:ascii="Arial" w:cs="Arial" w:eastAsia="Arial" w:hAnsi="Arial"/>
              </w:rPr>
            </w:pPr>
            <w:r w:rsidDel="00000000" w:rsidR="00000000" w:rsidRPr="00000000">
              <w:rPr>
                <w:rFonts w:ascii="Times New Roman" w:cs="Times New Roman" w:eastAsia="Times New Roman" w:hAnsi="Times New Roman"/>
                <w:color w:val="000000"/>
                <w:rtl w:val="0"/>
              </w:rPr>
              <w:t xml:space="preserve">Нежитлове приміщення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56" w:lineRule="auto"/>
              <w:jc w:val="center"/>
              <w:rPr>
                <w:rFonts w:ascii="Times New Roman" w:cs="Times New Roman" w:eastAsia="Times New Roman" w:hAnsi="Times New Roman"/>
                <w:color w:val="2d2c37"/>
                <w:highlight w:val="white"/>
              </w:rPr>
            </w:pPr>
            <w:r w:rsidDel="00000000" w:rsidR="00000000" w:rsidRPr="00000000">
              <w:rPr>
                <w:rFonts w:ascii="Times New Roman" w:cs="Times New Roman" w:eastAsia="Times New Roman" w:hAnsi="Times New Roman"/>
                <w:color w:val="2d2c37"/>
                <w:highlight w:val="white"/>
                <w:rtl w:val="0"/>
              </w:rPr>
              <w:t xml:space="preserve">62Z8851604764094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Rule="auto"/>
              <w:jc w:val="center"/>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селище Калинівка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Rule="auto"/>
              <w:jc w:val="center"/>
              <w:rPr>
                <w:rFonts w:ascii="Arial" w:cs="Arial" w:eastAsia="Arial" w:hAnsi="Arial"/>
              </w:rPr>
            </w:pPr>
            <w:r w:rsidDel="00000000" w:rsidR="00000000" w:rsidRPr="00000000">
              <w:rPr>
                <w:rFonts w:ascii="Times New Roman" w:cs="Times New Roman" w:eastAsia="Times New Roman" w:hAnsi="Times New Roman"/>
                <w:color w:val="000000"/>
                <w:rtl w:val="0"/>
              </w:rPr>
              <w:t xml:space="preserve">Нежитлове приміщення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56" w:lineRule="auto"/>
              <w:jc w:val="center"/>
              <w:rPr>
                <w:rFonts w:ascii="Times New Roman" w:cs="Times New Roman" w:eastAsia="Times New Roman" w:hAnsi="Times New Roman"/>
                <w:color w:val="2d2c37"/>
                <w:highlight w:val="white"/>
              </w:rPr>
            </w:pPr>
            <w:r w:rsidDel="00000000" w:rsidR="00000000" w:rsidRPr="00000000">
              <w:rPr>
                <w:rFonts w:ascii="Times New Roman" w:cs="Times New Roman" w:eastAsia="Times New Roman" w:hAnsi="Times New Roman"/>
                <w:color w:val="2d2c37"/>
                <w:highlight w:val="white"/>
                <w:rtl w:val="0"/>
              </w:rPr>
              <w:t xml:space="preserve">62Z6305861374354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Rule="auto"/>
              <w:jc w:val="center"/>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селище Калинівка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Rule="auto"/>
              <w:jc w:val="center"/>
              <w:rPr>
                <w:rFonts w:ascii="Arial" w:cs="Arial" w:eastAsia="Arial" w:hAnsi="Arial"/>
              </w:rPr>
            </w:pPr>
            <w:r w:rsidDel="00000000" w:rsidR="00000000" w:rsidRPr="00000000">
              <w:rPr>
                <w:rFonts w:ascii="Times New Roman" w:cs="Times New Roman" w:eastAsia="Times New Roman" w:hAnsi="Times New Roman"/>
                <w:color w:val="000000"/>
                <w:rtl w:val="0"/>
              </w:rPr>
              <w:t xml:space="preserve">Нежитлове приміщення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56" w:lineRule="auto"/>
              <w:jc w:val="center"/>
              <w:rPr>
                <w:rFonts w:ascii="Times New Roman" w:cs="Times New Roman" w:eastAsia="Times New Roman" w:hAnsi="Times New Roman"/>
                <w:color w:val="2d2c37"/>
                <w:highlight w:val="white"/>
              </w:rPr>
            </w:pPr>
            <w:r w:rsidDel="00000000" w:rsidR="00000000" w:rsidRPr="00000000">
              <w:rPr>
                <w:rFonts w:ascii="Times New Roman" w:cs="Times New Roman" w:eastAsia="Times New Roman" w:hAnsi="Times New Roman"/>
                <w:color w:val="2d2c37"/>
                <w:highlight w:val="white"/>
                <w:rtl w:val="0"/>
              </w:rPr>
              <w:t xml:space="preserve">62Z6645295725137</w:t>
            </w:r>
          </w:p>
        </w:tc>
      </w:tr>
    </w:tbl>
    <w:p w:rsidR="00000000" w:rsidDel="00000000" w:rsidP="00000000" w:rsidRDefault="00000000" w:rsidRPr="00000000" w14:paraId="00000075">
      <w:pPr>
        <w:spacing w:after="0" w:lineRule="auto"/>
        <w:ind w:firstLine="70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rc.gov.ua/?id=15950" TargetMode="External"/><Relationship Id="rId7" Type="http://schemas.openxmlformats.org/officeDocument/2006/relationships/hyperlink" Target="https://www.nerc.gov.ua/?id=15953" TargetMode="External"/><Relationship Id="rId8" Type="http://schemas.openxmlformats.org/officeDocument/2006/relationships/hyperlink" Target="https://www.nerc.gov.ua/?id=16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