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A7" w:rsidRPr="00FB260B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6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ЗАТВЕРДЖЕНО </w:t>
      </w:r>
    </w:p>
    <w:p w:rsidR="009E2BA7" w:rsidRPr="00FB260B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6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 Калинівської селищної ради </w:t>
      </w:r>
    </w:p>
    <w:p w:rsidR="009E2BA7" w:rsidRPr="00FB260B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6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__</w:t>
      </w:r>
      <w:r w:rsidR="00007B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грудня</w:t>
      </w:r>
      <w:r w:rsidRPr="00FB26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2022</w:t>
      </w:r>
      <w:r w:rsidR="00007B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FB26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№____</w:t>
      </w:r>
    </w:p>
    <w:p w:rsidR="00007BC0" w:rsidRDefault="009E2BA7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Pr="00007BC0" w:rsidRDefault="00007BC0" w:rsidP="00007BC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007BC0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:rsidR="009E2BA7" w:rsidRPr="00007BC0" w:rsidRDefault="00007BC0" w:rsidP="0000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07BC0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p w:rsidR="009E2BA7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Pr="00841E05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1E0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смт Калинівка</w:t>
      </w:r>
    </w:p>
    <w:p w:rsidR="009E2BA7" w:rsidRPr="00841E05" w:rsidRDefault="009E2BA7" w:rsidP="009E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1E0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2022</w:t>
      </w:r>
    </w:p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841E05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lastRenderedPageBreak/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E2BA7" w:rsidRPr="00841E05" w:rsidTr="00B41ED4">
        <w:tc>
          <w:tcPr>
            <w:tcW w:w="472" w:type="dxa"/>
          </w:tcPr>
          <w:p w:rsidR="009E2BA7" w:rsidRPr="00841E05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:rsidR="009E2BA7" w:rsidRPr="00841E05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9E2BA7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  <w:p w:rsidR="00007BC0" w:rsidRPr="00841E05" w:rsidRDefault="00007BC0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E2BA7" w:rsidRPr="00841E05" w:rsidTr="00B41ED4">
        <w:tc>
          <w:tcPr>
            <w:tcW w:w="472" w:type="dxa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  <w:hideMark/>
          </w:tcPr>
          <w:p w:rsidR="009E2BA7" w:rsidRPr="00841E05" w:rsidRDefault="009E2BA7" w:rsidP="001E5F11">
            <w:pPr>
              <w:tabs>
                <w:tab w:val="left" w:pos="993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Проблеми, на розв'язання яких спрямована Програма та обґрунтування необхідності їх розв'язання.</w:t>
            </w:r>
          </w:p>
        </w:tc>
      </w:tr>
      <w:tr w:rsidR="009E2BA7" w:rsidRPr="00841E05" w:rsidTr="00B41ED4">
        <w:tc>
          <w:tcPr>
            <w:tcW w:w="472" w:type="dxa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Програми.</w:t>
            </w:r>
          </w:p>
        </w:tc>
      </w:tr>
      <w:tr w:rsidR="009E2BA7" w:rsidRPr="00841E05" w:rsidTr="00B41ED4">
        <w:tc>
          <w:tcPr>
            <w:tcW w:w="472" w:type="dxa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9218" w:type="dxa"/>
            <w:gridSpan w:val="2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Основні завдання Програми.</w:t>
            </w:r>
          </w:p>
        </w:tc>
      </w:tr>
      <w:tr w:rsidR="009E2BA7" w:rsidRPr="00841E05" w:rsidTr="00B41ED4">
        <w:tc>
          <w:tcPr>
            <w:tcW w:w="472" w:type="dxa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Шляхи та способи розв’язання проблем.</w:t>
            </w:r>
          </w:p>
        </w:tc>
      </w:tr>
      <w:tr w:rsidR="009E2BA7" w:rsidRPr="00841E05" w:rsidTr="00B41ED4">
        <w:tc>
          <w:tcPr>
            <w:tcW w:w="472" w:type="dxa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  <w:hideMark/>
          </w:tcPr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Фінансове забезпечення Програми.</w:t>
            </w:r>
          </w:p>
          <w:p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 Програми, визначення її ефективності</w:t>
            </w: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9E2BA7" w:rsidRPr="00841E05" w:rsidTr="00B41ED4">
        <w:trPr>
          <w:gridAfter w:val="1"/>
          <w:wAfter w:w="476" w:type="dxa"/>
        </w:trPr>
        <w:tc>
          <w:tcPr>
            <w:tcW w:w="9214" w:type="dxa"/>
            <w:gridSpan w:val="2"/>
          </w:tcPr>
          <w:p w:rsidR="009E2BA7" w:rsidRPr="00841E05" w:rsidRDefault="009E2BA7" w:rsidP="00B41E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 1 до Програми:</w:t>
            </w:r>
          </w:p>
          <w:p w:rsidR="009E2BA7" w:rsidRPr="00841E05" w:rsidRDefault="009E2BA7" w:rsidP="00B41E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План заходів </w:t>
            </w: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місцевих стимулів для працівників КНП «Центр</w:t>
            </w:r>
            <w:r w:rsidR="00653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 медико-санітарної допомоги Калинівської селищної ради» на 2023-2025роки</w:t>
            </w:r>
          </w:p>
          <w:p w:rsidR="009E2BA7" w:rsidRPr="00841E05" w:rsidRDefault="009E2BA7" w:rsidP="00B41ED4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</w:tc>
      </w:tr>
    </w:tbl>
    <w:p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lastRenderedPageBreak/>
        <w:t>П А С П О Р Т</w:t>
      </w:r>
    </w:p>
    <w:p w:rsidR="009E2BA7" w:rsidRDefault="009E2BA7" w:rsidP="00FB260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B260B" w:rsidRPr="00FB260B">
        <w:rPr>
          <w:rFonts w:ascii="Times New Roman" w:hAnsi="Times New Roman" w:cs="Times New Roman"/>
          <w:sz w:val="28"/>
          <w:szCs w:val="28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p w:rsidR="00A23CCA" w:rsidRPr="00841E05" w:rsidRDefault="00A23CCA" w:rsidP="009E2B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576"/>
        <w:gridCol w:w="5548"/>
      </w:tblGrid>
      <w:tr w:rsidR="009E2BA7" w:rsidRPr="00B31434" w:rsidTr="00B41ED4">
        <w:trPr>
          <w:trHeight w:val="6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«ЦПМСД Калинівської селищної ради» </w:t>
            </w:r>
          </w:p>
        </w:tc>
      </w:tr>
      <w:tr w:rsidR="009E2BA7" w:rsidRPr="00841E05" w:rsidTr="00B41ED4">
        <w:trPr>
          <w:trHeight w:val="84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прийняття Програми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«Основи законодавства України про охорону здоров'я», Закон України «Про місцеве самоврядування в Україні»</w:t>
            </w:r>
          </w:p>
        </w:tc>
      </w:tr>
      <w:tr w:rsidR="009E2BA7" w:rsidRPr="00B31434" w:rsidTr="00B41ED4">
        <w:trPr>
          <w:trHeight w:val="49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«ЦПМСД Калинівської селищної ради» </w:t>
            </w:r>
          </w:p>
        </w:tc>
      </w:tr>
      <w:tr w:rsidR="009E2BA7" w:rsidRPr="00B31434" w:rsidTr="00B41ED4">
        <w:trPr>
          <w:trHeight w:val="7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«ЦПМСД Калинівської селищної ради»</w:t>
            </w:r>
          </w:p>
        </w:tc>
      </w:tr>
      <w:tr w:rsidR="009E2BA7" w:rsidRPr="00841E05" w:rsidTr="00B41ED4">
        <w:trPr>
          <w:trHeight w:val="48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841E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Калинівська селищн</w:t>
            </w:r>
            <w:r w:rsidR="00841E05"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="00841E05"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9E2BA7" w:rsidRPr="00841E05" w:rsidTr="00B41ED4">
        <w:trPr>
          <w:trHeight w:val="2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E2BA7" w:rsidRPr="00841E05" w:rsidTr="00B41ED4">
        <w:trPr>
          <w:trHeight w:val="6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E2BA7" w:rsidRPr="00007BC0" w:rsidTr="00B41ED4">
        <w:trPr>
          <w:trHeight w:val="8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7BC0" w:rsidRPr="00890EBE" w:rsidRDefault="00007BC0" w:rsidP="00007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9E2BA7"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Калинівської селищної територіальної громади</w:t>
            </w:r>
            <w:r w:rsidR="009E2BA7"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9E2BA7" w:rsidRPr="00890EBE" w:rsidRDefault="009E2BA7" w:rsidP="00007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бюджети </w:t>
            </w:r>
            <w:r w:rsidR="001E5F11"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інших </w:t>
            </w:r>
            <w:r w:rsidRPr="0089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сільських та селищних рад на умовах співфінансування, надання субвенцій</w:t>
            </w:r>
          </w:p>
        </w:tc>
      </w:tr>
      <w:tr w:rsidR="009E2BA7" w:rsidRPr="00841E05" w:rsidTr="00B41ED4">
        <w:trPr>
          <w:trHeight w:val="106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2BA7" w:rsidRPr="00890EBE" w:rsidRDefault="000A26EE" w:rsidP="004B17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B175E"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  <w:r w:rsidRPr="00890E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E2BA7"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0A26EE" w:rsidRPr="00841E05" w:rsidTr="00B41ED4">
        <w:trPr>
          <w:trHeight w:val="40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41E05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41E05" w:rsidRDefault="00FB260B" w:rsidP="007E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26EE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оштів </w:t>
            </w:r>
            <w:r w:rsidR="007E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бюджету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90EBE" w:rsidRDefault="000A26EE" w:rsidP="004B17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B175E"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  <w:r w:rsidRPr="00890E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0A26EE" w:rsidRPr="00841E05" w:rsidTr="00B41ED4">
        <w:trPr>
          <w:trHeight w:val="36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41E05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41E05" w:rsidRDefault="00FB260B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26EE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інших джерел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6EE" w:rsidRPr="00890EBE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9E2BA7" w:rsidRPr="00841E05" w:rsidRDefault="009E2BA7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9E2BA7" w:rsidRDefault="009E2BA7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Проблеми, на розв'язання яких спрямована Програма та обґрунтування необхідності їх розв'язання</w:t>
      </w:r>
    </w:p>
    <w:p w:rsidR="009E2BA7" w:rsidRPr="00841E05" w:rsidRDefault="009E2BA7" w:rsidP="009E2BA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sz w:val="28"/>
          <w:szCs w:val="28"/>
          <w:lang w:val="uk-UA"/>
        </w:rPr>
        <w:t xml:space="preserve">            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Кожна людина має право на охорону здоров’я. Держава несе відповідальність за рівень здоров’я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генофонду України та повинна забезпечити пріоритетність охорони здоров’я, вдосконалення медичної допомоги, </w:t>
      </w:r>
      <w:r w:rsidR="003F0425" w:rsidRPr="00841E05">
        <w:rPr>
          <w:rFonts w:ascii="Times New Roman" w:hAnsi="Times New Roman" w:cs="Times New Roman"/>
          <w:sz w:val="28"/>
          <w:szCs w:val="28"/>
          <w:lang w:val="uk-UA"/>
        </w:rPr>
        <w:t>попередження і зниження захворюваності, інвалідності та смертності, поліпшення спадковості</w:t>
      </w:r>
      <w:r w:rsidR="003F04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0425"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належні умови праці працівників</w:t>
      </w:r>
      <w:r w:rsidR="00890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BE" w:rsidRPr="00FF414B">
        <w:rPr>
          <w:rFonts w:ascii="Times New Roman" w:hAnsi="Times New Roman" w:cs="Times New Roman"/>
          <w:sz w:val="28"/>
          <w:szCs w:val="28"/>
          <w:lang w:val="uk-UA"/>
        </w:rPr>
        <w:t>медичних закладів</w:t>
      </w:r>
      <w:r w:rsidRPr="00FF41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Негативні тенденції у демографічній си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 xml:space="preserve">туації, а саме високий рівень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старіння, низький приріст населення, низький рівень народжуваності, високий рівень смертності зумовили високий рівень демографічної старості населення, що обумовили велике демографічне навантаження.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  Таку кризу частково можна подолати за рахунок підвищення якості медичної допомоги, завдяки забезпеченню підрозділів КНП «ЦПМСД Калинівської селищної ради» гарними спеціалістами та необхідним матеріально-технічним оснащенням.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Значний плив на ситуацію має стан здоров'я</w:t>
      </w:r>
      <w:r w:rsidR="003F04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841E0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найважливіших чинників розвитку економіки та добробуту населення. Найважливіша роль в збереженні здоров’я, профілактиці захворюваності та забезпеченні населення якісною медичною допомогою належить працівникам</w:t>
      </w:r>
      <w:r w:rsidR="00890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BE" w:rsidRPr="00FF414B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</w:t>
      </w:r>
      <w:r w:rsidRPr="00FF4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 Разом з тим, недосконала система оплати праці та недостатня соціальна захищеність не створюють у працівників </w:t>
      </w:r>
      <w:r w:rsidR="003F0425">
        <w:rPr>
          <w:rFonts w:ascii="Times New Roman" w:hAnsi="Times New Roman" w:cs="Times New Roman"/>
          <w:sz w:val="28"/>
          <w:szCs w:val="28"/>
          <w:lang w:val="uk-UA"/>
        </w:rPr>
        <w:t xml:space="preserve">ЗОЗ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стимулів до підвищення якості медичної допомоги населенню та ефективності використання наявних матеріально-технічних ресурсів медичних закладів. Такий стан справ негативно впливає на рівень надання кваліфікованої медичної допомоги населенню. Вищезазначені умови також не дозволяють залучити молодих фахівців до роботи в медичні заклади громад.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Відсутність житла для лікарів ставлять під загрозу якість та доступність медичної допомоги для населення. Найбільш гострими на сьогодні є такі проблеми: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-зниження престижу професії медичного працівника;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-неконкурентна заробітна плата;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-відсутність забезпечення житлом молодих спеціалістів;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-значне старіння кадрового потенціалу;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 потреба в підвищенні кваліфікаційного рівня спеціалістів.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Ефективна кадрова політика є важливим інструментом функціонування галузі охорони здоров’я, оскільки від рівня забезпеченості структурних підрозділів закладу медичними працівниками та їх професійного рівня залежить якість надання медичної допомоги населенню громади. Питання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кадрового забезпечення набуло особливої ваги з огляду на кадрову кризу в медичній галузі. </w:t>
      </w:r>
    </w:p>
    <w:p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>Станом на грудень 2022 року в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КНП «ЦПМСД Калинівської селищної ради» працюють 12 лікарів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 них 25% лікарів пенсійного віку. Однією з причин 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>недостатньої кількості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кадрів є відсутність житла для медичних спеціалістів (в першу чергу молодих), перспективи на його отримання, а також відсутність впродовж багатьох років додаткових заохочувальних, компенсаторних соціальних доплат, виплат і надбавок з місцевого бюджету. Підняття престижу праці медичного працівника в суспільстві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 для відтворення кадрового ресурсу вимагає необхідності здійснення комплексу заходів, спрямованих на розв'язання проблем та підвищення ефективності 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>закладу охорони здоров'я що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зумовлює необхідність прийняття Програми місцевих стимулів для працівників КНП «ЦПМСД Калинівської селищної ради»  на 2023-2025 роки. Прийняття Програми сприятиме забезпеченню медичн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D104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громади лікарями, поліпшенню стану здоров'я населення шляхом забезпечення доступу до кваліфікованої медичної допомоги, орієнтованої на інтегрований підхід до вирішення медико – санітарних потреб окремих громадян, родин та громади в цілому.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 Сьогодні існують незаперечні докази, що здоров'я населення є одним з найважливіших чинників розвитку економіки та добробуту населення. Роль медичного працівника щодо профілактики захворюваності, забезпеченні населення якісною медичною допомогою важко переоцінити. Недосконала система оплати праці, недостатня соціальна захищеність не створюють  у працівників </w:t>
      </w:r>
      <w:r w:rsidR="004A512B" w:rsidRPr="00FF414B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</w:t>
      </w:r>
      <w:r w:rsidR="004A5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стимулів до підвищення якості медичної допомоги населенню та ефективності використання наявних матеріально-технічних ресурсів.</w:t>
      </w:r>
    </w:p>
    <w:p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5F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Недостатнє забезпечення </w:t>
      </w:r>
      <w:r w:rsidR="00306207">
        <w:rPr>
          <w:rFonts w:ascii="Times New Roman" w:hAnsi="Times New Roman" w:cs="Times New Roman"/>
          <w:sz w:val="28"/>
          <w:szCs w:val="28"/>
          <w:lang w:val="uk-UA"/>
        </w:rPr>
        <w:t xml:space="preserve">КНП «Центр первинної медико-санітарної допомоги 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 xml:space="preserve">Калинівської селищної </w:t>
      </w:r>
      <w:r w:rsidR="00306207">
        <w:rPr>
          <w:rFonts w:ascii="Times New Roman" w:hAnsi="Times New Roman" w:cs="Times New Roman"/>
          <w:sz w:val="28"/>
          <w:szCs w:val="28"/>
          <w:lang w:val="uk-UA"/>
        </w:rPr>
        <w:t>ради»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лікарями первинної ланки стало передумовою до порушення комплексності та послідовності у наданні медичної допомоги, формального підходу до проведення профілактики захворювань та диспансеризації населення. Це, у свою чергу, призводить до несвоєчасного виявлення  хвороб та їх ускладнень, а відтак -  і до </w:t>
      </w:r>
      <w:r w:rsidR="00306207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потреби населення у спеціалізованій та високо спеціалізованій  медичній допомозі.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потребує покращення кваліфікаційний рівень працівників медичної галузі у відповідності до сучасних вимог надання медичних послуг. </w:t>
      </w:r>
    </w:p>
    <w:p w:rsidR="009E2BA7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Такий стан справ вимагає необхідності здійснення комплексу заходів, спрямованих на розв'язання проблем та підвищення ефективності охорони здоров'я в цілому.</w:t>
      </w:r>
    </w:p>
    <w:p w:rsidR="001E5F11" w:rsidRPr="00841E05" w:rsidRDefault="001E5F11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BA7" w:rsidRPr="00306207" w:rsidRDefault="009E2BA7" w:rsidP="00306207">
      <w:pPr>
        <w:pStyle w:val="a5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07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Метою Програми є забезпечення зниження рівня захворюваності, інвалідності та смертності населення шляхом налагодження ефективного функціонування системи надання населенню доступної і високоякісної  медичної допомоги. </w:t>
      </w:r>
    </w:p>
    <w:p w:rsidR="009E2BA7" w:rsidRPr="00841E05" w:rsidRDefault="009E2BA7" w:rsidP="009E2BA7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Програми</w:t>
      </w:r>
    </w:p>
    <w:p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         Основними завданнями Програми є:</w:t>
      </w:r>
    </w:p>
    <w:p w:rsidR="009E2BA7" w:rsidRPr="00007BC0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Створення умов ефективного функціонування в громаді галузі медицини.</w:t>
      </w:r>
    </w:p>
    <w:p w:rsidR="009E2BA7" w:rsidRPr="00007BC0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Забезпечення заклад</w:t>
      </w:r>
      <w:r w:rsidR="0030620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0584B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кваліфікованими </w:t>
      </w:r>
      <w:r w:rsidR="00306207" w:rsidRPr="00007BC0">
        <w:rPr>
          <w:rFonts w:ascii="Times New Roman" w:hAnsi="Times New Roman" w:cs="Times New Roman"/>
          <w:sz w:val="28"/>
          <w:szCs w:val="28"/>
          <w:lang w:val="uk-UA"/>
        </w:rPr>
        <w:t>медични</w:t>
      </w:r>
      <w:r w:rsidR="0000584B">
        <w:rPr>
          <w:rFonts w:ascii="Times New Roman" w:hAnsi="Times New Roman" w:cs="Times New Roman"/>
          <w:sz w:val="28"/>
          <w:szCs w:val="28"/>
          <w:lang w:val="uk-UA"/>
        </w:rPr>
        <w:t>ми спеціалістами</w:t>
      </w:r>
      <w:r w:rsidRPr="00007B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BA7" w:rsidRPr="00007BC0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Підвищення соціального захисту працівників</w:t>
      </w:r>
      <w:r w:rsidR="004A5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12B" w:rsidRPr="00FF414B">
        <w:rPr>
          <w:rFonts w:ascii="Times New Roman" w:hAnsi="Times New Roman" w:cs="Times New Roman"/>
          <w:sz w:val="28"/>
          <w:szCs w:val="28"/>
          <w:lang w:val="uk-UA"/>
        </w:rPr>
        <w:t>медичної галузі</w:t>
      </w:r>
      <w:r w:rsidRPr="00007B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Здійснення усіх передбачених законодавством доплат та надбавок стимулюючого характеру відповідно до обсягу виконаних робіт.</w:t>
      </w:r>
    </w:p>
    <w:p w:rsidR="009E2BA7" w:rsidRPr="00007BC0" w:rsidRDefault="009E2BA7" w:rsidP="009E2BA7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96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Здійснення комплексу організаційних та інформаційних заходів щодо формування у молодих медичних спеціалістів мотивації до роботи в  заклад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охорони здоров’я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громади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E2BA7" w:rsidRPr="00007BC0" w:rsidRDefault="009E2BA7" w:rsidP="009E2BA7">
      <w:pPr>
        <w:shd w:val="clear" w:color="auto" w:fill="FFFFFF"/>
        <w:tabs>
          <w:tab w:val="left" w:pos="567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5.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заходів, спрямованих на 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підвищення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захист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медичних працівників (забезпечення відомчим житлом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тощо).</w:t>
      </w:r>
    </w:p>
    <w:p w:rsidR="009E2BA7" w:rsidRPr="00007BC0" w:rsidRDefault="009E2BA7" w:rsidP="009E2BA7">
      <w:pPr>
        <w:shd w:val="clear" w:color="auto" w:fill="FFFFFF"/>
        <w:tabs>
          <w:tab w:val="left" w:pos="567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6.</w:t>
      </w:r>
      <w:r w:rsidR="00005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Підготовка і перепідготовка працівників </w:t>
      </w:r>
      <w:r w:rsidR="004A51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ЗОЗ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первинної ланки, постійне підвищення їх професійного рівня.</w:t>
      </w:r>
    </w:p>
    <w:p w:rsidR="009E2BA7" w:rsidRPr="00841E05" w:rsidRDefault="00132934" w:rsidP="001329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sz w:val="28"/>
          <w:szCs w:val="28"/>
          <w:lang w:val="uk-UA"/>
        </w:rPr>
        <w:t>Заходи виконання Програми визначено у додатку  до Програми.</w:t>
      </w:r>
    </w:p>
    <w:p w:rsidR="009E2BA7" w:rsidRPr="00841E05" w:rsidRDefault="009E2BA7" w:rsidP="009E2BA7">
      <w:pPr>
        <w:numPr>
          <w:ilvl w:val="0"/>
          <w:numId w:val="5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Шляхи та способи розв’язання проблем</w:t>
      </w:r>
    </w:p>
    <w:p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         Основними напрямками реалізації Програми є:</w:t>
      </w:r>
    </w:p>
    <w:p w:rsidR="009E2BA7" w:rsidRPr="00841E05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аналіз проблемних питань у забезпеченні </w:t>
      </w:r>
      <w:r w:rsidR="0000584B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лікарями;</w:t>
      </w:r>
    </w:p>
    <w:p w:rsidR="009E2BA7" w:rsidRPr="00841E05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й сприяння співробітництву</w:t>
      </w:r>
      <w:r w:rsidR="001E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11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 і заклад</w:t>
      </w:r>
      <w:r w:rsidR="000058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5F1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84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для виконання заходів Програми;</w:t>
      </w:r>
    </w:p>
    <w:p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статусу медичного працівника  шляхом заохочень до роботи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первинної медико-санітарної допомоги</w:t>
      </w:r>
      <w:r w:rsidRPr="00007B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здійснення підготовки і перепідготовки працівників, постійне підвищення їх професійного рівня, отримання управлінським персоналом навичок сучасного менеджменту;</w:t>
      </w:r>
    </w:p>
    <w:p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використання усіх форм санітарно-просвітницької роботи серед молоді з метою залучення до роботи у галузі охорони здоров'я.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 Фінансове забезпечення Програми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відповідно до законодавства України за рахунок коштів </w:t>
      </w:r>
      <w:bookmarkStart w:id="0" w:name="_GoBack"/>
      <w:bookmarkEnd w:id="0"/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>Калинівської селищної територіальної громади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та інших джерел, не заборонених чинним законодавством.</w:t>
      </w:r>
    </w:p>
    <w:p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6. Очікувані результати виконання Програми, визначення її ефективності</w:t>
      </w:r>
    </w:p>
    <w:p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Реалізація заходів, передбачених Програмою за час її дії дасть змогу:</w:t>
      </w:r>
    </w:p>
    <w:p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поліпшити соціально-побутові умови працівників;</w:t>
      </w:r>
    </w:p>
    <w:p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роботи працівників;</w:t>
      </w:r>
    </w:p>
    <w:p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покращити якість надання медичних послуг населенню. </w:t>
      </w:r>
    </w:p>
    <w:p w:rsidR="009E2BA7" w:rsidRPr="00841E05" w:rsidRDefault="009E2BA7" w:rsidP="009E2BA7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7. Контроль за виконанням Програми</w:t>
      </w:r>
    </w:p>
    <w:p w:rsidR="009E2BA7" w:rsidRPr="00841E05" w:rsidRDefault="009E2BA7" w:rsidP="00966ED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покладається на постійну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 xml:space="preserve"> комісію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Калинівської селищної ради</w:t>
      </w:r>
      <w:r w:rsidR="00007BC0" w:rsidRPr="00007BC0">
        <w:t xml:space="preserve"> </w:t>
      </w:r>
      <w:r w:rsidR="00007BC0" w:rsidRPr="00007BC0">
        <w:rPr>
          <w:rFonts w:ascii="Times New Roman" w:hAnsi="Times New Roman" w:cs="Times New Roman"/>
          <w:sz w:val="28"/>
          <w:szCs w:val="28"/>
          <w:lang w:val="uk-UA"/>
        </w:rPr>
        <w:t>з питань освіти, культури, туризму, молоді, фізкультури і спорту, охорони здоров’я та соціального захисту населення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BA7" w:rsidRPr="00841E05" w:rsidRDefault="009E2BA7" w:rsidP="009E2B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2D1" w:rsidRPr="00007BC0" w:rsidRDefault="00D842D1" w:rsidP="00007BC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Комунального некомерційного </w:t>
      </w:r>
    </w:p>
    <w:p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«Центр первинної </w:t>
      </w:r>
    </w:p>
    <w:p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медико-санітарної допомоги </w:t>
      </w:r>
    </w:p>
    <w:p w:rsidR="00441C10" w:rsidRP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441C10" w:rsidRPr="00007BC0" w:rsidSect="00007BC0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>Калинівської селищної ради»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Сергій КУДРЕНКО</w:t>
      </w:r>
    </w:p>
    <w:p w:rsidR="00132934" w:rsidRDefault="00132934" w:rsidP="001329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Програми</w:t>
      </w:r>
    </w:p>
    <w:p w:rsidR="00E16C32" w:rsidRPr="00841E05" w:rsidRDefault="00E16C32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З А Х О Д И</w:t>
      </w:r>
    </w:p>
    <w:p w:rsidR="00002A9D" w:rsidRDefault="00132934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</w:t>
      </w:r>
      <w:r w:rsidRPr="00132934">
        <w:rPr>
          <w:rFonts w:ascii="Times New Roman" w:hAnsi="Times New Roman" w:cs="Times New Roman"/>
          <w:sz w:val="28"/>
          <w:szCs w:val="28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tbl>
      <w:tblPr>
        <w:tblW w:w="15392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402"/>
        <w:gridCol w:w="1417"/>
        <w:gridCol w:w="2130"/>
        <w:gridCol w:w="1134"/>
        <w:gridCol w:w="1134"/>
        <w:gridCol w:w="1134"/>
        <w:gridCol w:w="1417"/>
        <w:gridCol w:w="2206"/>
      </w:tblGrid>
      <w:tr w:rsidR="00132934" w:rsidRPr="00132934" w:rsidTr="00F94FEB">
        <w:trPr>
          <w:trHeight w:val="441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Найменування заходів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Відповідальні виконавці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ind w:left="-152" w:right="-12" w:firstLine="1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Бюджет Калинівської селищної територіальної громади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Всього за програмою</w:t>
            </w:r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Очікуваний результат</w:t>
            </w:r>
          </w:p>
        </w:tc>
      </w:tr>
      <w:tr w:rsidR="00132934" w:rsidRPr="00132934" w:rsidTr="00F94FEB">
        <w:trPr>
          <w:trHeight w:val="88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Сума витрат за 2023 р., </w:t>
            </w:r>
          </w:p>
          <w:p w:rsidR="001B2801" w:rsidRPr="00132934" w:rsidRDefault="00132934" w:rsidP="00132934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2801" w:rsidRPr="00132934" w:rsidRDefault="00132934" w:rsidP="00132934">
            <w:pPr>
              <w:spacing w:after="0" w:line="240" w:lineRule="auto"/>
              <w:ind w:left="-150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Сума витрат за 2024 р., тис. грн.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934" w:rsidRPr="00132934" w:rsidRDefault="00132934" w:rsidP="00132934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Сума витрат за 2025 р., </w:t>
            </w:r>
          </w:p>
          <w:p w:rsidR="001B2801" w:rsidRPr="00132934" w:rsidRDefault="00132934" w:rsidP="00132934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тис. грн.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2801" w:rsidRPr="00132934" w:rsidRDefault="001B280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2934" w:rsidRPr="00132934" w:rsidTr="00F94FEB">
        <w:trPr>
          <w:trHeight w:val="313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даних аналізу кадрового забезпечення закладів охорони здоров’я комунальної власності громади визначення реальної потреби в кількості спеціалістів, передусім лікарів загальної практики-сімейної медицини, залежно від демографічних та соціально-економічних показників та підготовка і направлення до управління охорони здоров’я Київської облдержадміністрації заявок на молодих спеціалістів: лікарів загальної практики - сімейної медицини та інших лікарських спеціальностей на 202</w:t>
            </w:r>
            <w:r w:rsidR="00A23CCA" w:rsidRPr="00132934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-202</w:t>
            </w:r>
            <w:r w:rsidR="00A23CCA" w:rsidRPr="00132934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2023-2025 роки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Калинівська селищна  рада, </w:t>
            </w:r>
          </w:p>
          <w:p w:rsidR="00D842D1" w:rsidRP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КНП «ЦПМСД Калинівської селищної ради»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Фінансування не потребує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00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Залучення молодих спеціалістів в комунальні заклади охорони </w:t>
            </w:r>
            <w:r w:rsidR="00A23CCA" w:rsidRPr="00132934">
              <w:rPr>
                <w:rFonts w:ascii="Times New Roman" w:eastAsia="Times New Roman" w:hAnsi="Times New Roman" w:cs="Times New Roman"/>
                <w:lang w:val="uk-UA" w:eastAsia="uk-UA"/>
              </w:rPr>
              <w:t>здоров’я, збільшення укомплекто</w:t>
            </w: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ваності вакантних посад</w:t>
            </w:r>
          </w:p>
        </w:tc>
      </w:tr>
      <w:tr w:rsidR="00132934" w:rsidRPr="00132934" w:rsidTr="00F94FE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FF275F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заходів щодо удосконалення кадрової політики охорони здоров'я, а саме підвищення кваліфікації медичних працівників, їх</w:t>
            </w:r>
            <w:r w:rsidR="008A3592"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перенавчання та перепідготовка </w:t>
            </w: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лікарів-терапевтів, педіатрів лікар</w:t>
            </w:r>
            <w:r w:rsidR="008A3592" w:rsidRPr="00132934">
              <w:rPr>
                <w:rFonts w:ascii="Times New Roman" w:eastAsia="Times New Roman" w:hAnsi="Times New Roman" w:cs="Times New Roman"/>
                <w:lang w:val="uk-UA" w:eastAsia="uk-UA"/>
              </w:rPr>
              <w:t>ів ЗПСЛ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699" w:rsidRPr="00132934" w:rsidRDefault="007E4699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7E4699" w:rsidRPr="00132934" w:rsidRDefault="007E4699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D842D1" w:rsidRPr="00132934" w:rsidRDefault="00653E28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2023-2025 роки</w:t>
            </w:r>
            <w:r w:rsidR="00D842D1" w:rsidRPr="00132934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Калинівська селищна  рада, </w:t>
            </w:r>
          </w:p>
          <w:p w:rsidR="00D842D1" w:rsidRP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КНП «ЦПМСД Калинівської селищної ради»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42D1" w:rsidRPr="00132934" w:rsidRDefault="00132934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В межах бюджетних призначень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2D1" w:rsidRPr="00132934" w:rsidRDefault="00D842D1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лікувально-діагностичного процесу, організації медичної</w:t>
            </w: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 допомоги</w:t>
            </w:r>
          </w:p>
        </w:tc>
      </w:tr>
      <w:tr w:rsidR="00132934" w:rsidRPr="00132934" w:rsidTr="00F94FE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75F" w:rsidRPr="00132934" w:rsidRDefault="00390B5A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75F" w:rsidRPr="00132934" w:rsidRDefault="00FF275F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ква</w:t>
            </w:r>
            <w:r w:rsidR="008A3592" w:rsidRPr="00132934">
              <w:rPr>
                <w:rFonts w:ascii="Times New Roman" w:eastAsia="Times New Roman" w:hAnsi="Times New Roman" w:cs="Times New Roman"/>
                <w:lang w:val="uk-UA" w:eastAsia="uk-UA"/>
              </w:rPr>
              <w:t>ліфікаційної підготовки лікарів</w:t>
            </w:r>
            <w:r w:rsidR="0000584B">
              <w:rPr>
                <w:rFonts w:ascii="Times New Roman" w:eastAsia="Times New Roman" w:hAnsi="Times New Roman" w:cs="Times New Roman"/>
                <w:lang w:val="uk-UA" w:eastAsia="uk-UA"/>
              </w:rPr>
              <w:t>, середнього медичного персоналу та інших працівників закладу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28" w:rsidRPr="00132934" w:rsidRDefault="00653E28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2023-2025 роки, </w:t>
            </w:r>
          </w:p>
          <w:p w:rsidR="00FF275F" w:rsidRPr="00132934" w:rsidRDefault="00653E28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п</w:t>
            </w:r>
            <w:r w:rsidR="00FF275F" w:rsidRPr="00132934">
              <w:rPr>
                <w:rFonts w:ascii="Times New Roman" w:eastAsia="Times New Roman" w:hAnsi="Times New Roman" w:cs="Times New Roman"/>
                <w:lang w:val="uk-UA" w:eastAsia="uk-UA"/>
              </w:rPr>
              <w:t>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75F" w:rsidRPr="00132934" w:rsidRDefault="008A3592" w:rsidP="00F9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Калинівська</w:t>
            </w:r>
            <w:r w:rsidR="00FF275F" w:rsidRPr="00132934">
              <w:rPr>
                <w:rFonts w:ascii="Times New Roman" w:hAnsi="Times New Roman" w:cs="Times New Roman"/>
                <w:lang w:val="uk-UA"/>
              </w:rPr>
              <w:t xml:space="preserve"> селищна  рада, </w:t>
            </w:r>
            <w:r w:rsidRPr="00132934">
              <w:rPr>
                <w:rFonts w:ascii="Times New Roman" w:hAnsi="Times New Roman" w:cs="Times New Roman"/>
                <w:lang w:val="uk-UA"/>
              </w:rPr>
              <w:t>КНП «ЦПМСД</w:t>
            </w:r>
            <w:r w:rsidR="00F94F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2934">
              <w:rPr>
                <w:rFonts w:ascii="Times New Roman" w:hAnsi="Times New Roman" w:cs="Times New Roman"/>
                <w:lang w:val="uk-UA"/>
              </w:rPr>
              <w:t>Калинівської селищної ради»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66EDD" w:rsidRPr="00132934" w:rsidRDefault="00966EDD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66EDD" w:rsidRPr="00132934" w:rsidRDefault="00966EDD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FE0" w:rsidRPr="00132934" w:rsidRDefault="003A1FE0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240,0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75F" w:rsidRPr="00132934" w:rsidRDefault="0000584B" w:rsidP="0000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Підвищення</w:t>
            </w:r>
            <w:r w:rsidR="00FF275F"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кваліфікаційного рівня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працівників</w:t>
            </w:r>
            <w:r w:rsidR="00FF275F" w:rsidRPr="0013293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</w:tr>
      <w:tr w:rsidR="00132934" w:rsidRPr="00132934" w:rsidTr="00F94FEB">
        <w:trPr>
          <w:trHeight w:val="9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90B5A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07246B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Надання  матеріальної доп</w:t>
            </w:r>
            <w:r w:rsidR="00FF275F" w:rsidRPr="00132934">
              <w:rPr>
                <w:rFonts w:ascii="Times New Roman" w:hAnsi="Times New Roman" w:cs="Times New Roman"/>
                <w:lang w:val="uk-UA"/>
              </w:rPr>
              <w:t>ом</w:t>
            </w:r>
            <w:r w:rsidRPr="00132934">
              <w:rPr>
                <w:rFonts w:ascii="Times New Roman" w:hAnsi="Times New Roman" w:cs="Times New Roman"/>
                <w:lang w:val="uk-UA"/>
              </w:rPr>
              <w:t>о</w:t>
            </w:r>
            <w:r w:rsidR="00390B5A">
              <w:rPr>
                <w:rFonts w:ascii="Times New Roman" w:hAnsi="Times New Roman" w:cs="Times New Roman"/>
                <w:lang w:val="uk-UA"/>
              </w:rPr>
              <w:t>ги на  оздоровлення та для вирішення соціально-побутових питань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Калинівська селищна  рада, КНП «ЦПМСД Калинівської селищної ради»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690,0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C67C35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2060,0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414B" w:rsidP="00FF4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Матеріальне заохочення</w:t>
            </w:r>
            <w:r w:rsidRPr="00132934">
              <w:rPr>
                <w:rFonts w:ascii="Times New Roman" w:hAnsi="Times New Roman" w:cs="Times New Roman"/>
                <w:lang w:val="uk-UA"/>
              </w:rPr>
              <w:t xml:space="preserve"> працівників</w:t>
            </w:r>
          </w:p>
        </w:tc>
      </w:tr>
      <w:tr w:rsidR="00132934" w:rsidRPr="00132934" w:rsidTr="00F94FEB">
        <w:trPr>
          <w:trHeight w:val="1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90B5A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275F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Преміювання  працівників 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 xml:space="preserve">за особистий внесок </w:t>
            </w:r>
            <w:r w:rsidRPr="00132934">
              <w:rPr>
                <w:rFonts w:ascii="Times New Roman" w:hAnsi="Times New Roman" w:cs="Times New Roman"/>
                <w:lang w:val="uk-UA"/>
              </w:rPr>
              <w:t xml:space="preserve">в 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 xml:space="preserve">роботу підприємства </w:t>
            </w:r>
            <w:r w:rsidR="00966EDD" w:rsidRPr="00132934">
              <w:rPr>
                <w:rFonts w:ascii="Times New Roman" w:hAnsi="Times New Roman" w:cs="Times New Roman"/>
                <w:lang w:val="uk-UA"/>
              </w:rPr>
              <w:t>в умовах</w:t>
            </w:r>
            <w:r w:rsidRPr="00132934">
              <w:rPr>
                <w:rFonts w:ascii="Times New Roman" w:hAnsi="Times New Roman" w:cs="Times New Roman"/>
                <w:lang w:val="uk-UA"/>
              </w:rPr>
              <w:t xml:space="preserve">  надзвичайн</w:t>
            </w:r>
            <w:r w:rsidR="00C67C35" w:rsidRPr="00132934">
              <w:rPr>
                <w:rFonts w:ascii="Times New Roman" w:hAnsi="Times New Roman" w:cs="Times New Roman"/>
                <w:lang w:val="uk-UA"/>
              </w:rPr>
              <w:t>и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>х</w:t>
            </w:r>
            <w:r w:rsidRPr="00132934">
              <w:rPr>
                <w:rFonts w:ascii="Times New Roman" w:hAnsi="Times New Roman" w:cs="Times New Roman"/>
                <w:lang w:val="uk-UA"/>
              </w:rPr>
              <w:t xml:space="preserve"> ситуаці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>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8A359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Калинівська селищна  рада, КНП «ЦПМСД Калинівської селищної ради»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F275F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F275F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390,0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1100,0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414B" w:rsidP="00FF4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Матеріальне заохочення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 xml:space="preserve"> працівників</w:t>
            </w:r>
          </w:p>
        </w:tc>
      </w:tr>
      <w:tr w:rsidR="00132934" w:rsidRPr="00132934" w:rsidTr="00F94FEB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90B5A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П</w:t>
            </w:r>
            <w:r w:rsidR="00C67C35" w:rsidRPr="00132934">
              <w:rPr>
                <w:rFonts w:ascii="Times New Roman" w:hAnsi="Times New Roman" w:cs="Times New Roman"/>
                <w:lang w:val="uk-UA"/>
              </w:rPr>
              <w:t xml:space="preserve">реміювання  до  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 xml:space="preserve">державних та </w:t>
            </w:r>
            <w:r w:rsidR="00C67C35" w:rsidRPr="00132934">
              <w:rPr>
                <w:rFonts w:ascii="Times New Roman" w:hAnsi="Times New Roman" w:cs="Times New Roman"/>
                <w:lang w:val="uk-UA"/>
              </w:rPr>
              <w:t>професійн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 xml:space="preserve">их  </w:t>
            </w:r>
            <w:r w:rsidR="00C67C35" w:rsidRPr="00132934">
              <w:rPr>
                <w:rFonts w:ascii="Times New Roman" w:hAnsi="Times New Roman" w:cs="Times New Roman"/>
                <w:lang w:val="uk-UA"/>
              </w:rPr>
              <w:t>свят</w:t>
            </w:r>
            <w:r w:rsidR="007E4699" w:rsidRPr="00132934">
              <w:rPr>
                <w:rFonts w:ascii="Times New Roman" w:hAnsi="Times New Roman" w:cs="Times New Roman"/>
                <w:lang w:val="uk-UA"/>
              </w:rPr>
              <w:t>, ювілейних дат працівників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1</w:t>
            </w:r>
            <w:r w:rsidR="00363BA8" w:rsidRPr="00132934">
              <w:rPr>
                <w:rFonts w:ascii="Times New Roman" w:hAnsi="Times New Roman" w:cs="Times New Roman"/>
                <w:lang w:val="uk-UA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</w:t>
            </w:r>
            <w:r w:rsidR="00363BA8" w:rsidRPr="00132934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</w:t>
            </w:r>
            <w:r w:rsidR="00363BA8" w:rsidRPr="00132934">
              <w:rPr>
                <w:rFonts w:ascii="Times New Roman" w:hAnsi="Times New Roman" w:cs="Times New Roman"/>
                <w:lang w:val="uk-UA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653E2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6</w:t>
            </w:r>
            <w:r w:rsidR="00363BA8" w:rsidRPr="00132934">
              <w:rPr>
                <w:rFonts w:ascii="Times New Roman" w:hAnsi="Times New Roman" w:cs="Times New Roman"/>
                <w:lang w:val="uk-UA"/>
              </w:rPr>
              <w:t>27,0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FF4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132934" w:rsidRPr="00132934" w:rsidTr="00F94FEB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90B5A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Преміювання працівників</w:t>
            </w:r>
            <w:r w:rsidR="00A23CCA" w:rsidRPr="00132934">
              <w:rPr>
                <w:rFonts w:ascii="Times New Roman" w:hAnsi="Times New Roman" w:cs="Times New Roman"/>
                <w:lang w:val="uk-UA"/>
              </w:rPr>
              <w:t xml:space="preserve"> за підсумками  роботи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2023-2025 роки, щомісячно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363BA8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EE13D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EE13D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3860,0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EE13D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4100,0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EE13D2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11410,0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46B" w:rsidRPr="00132934" w:rsidRDefault="00EE13D2" w:rsidP="00FF4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132934" w:rsidRPr="00132934" w:rsidTr="00F94FEB">
        <w:trPr>
          <w:trHeight w:val="225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390B5A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275F" w:rsidP="00FF414B">
            <w:pPr>
              <w:tabs>
                <w:tab w:val="left" w:pos="1611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Забезпечення житлом </w:t>
            </w:r>
            <w:r w:rsidR="00FF414B">
              <w:rPr>
                <w:rFonts w:ascii="Times New Roman" w:hAnsi="Times New Roman" w:cs="Times New Roman"/>
                <w:lang w:val="uk-UA"/>
              </w:rPr>
              <w:t>медичних працівників</w:t>
            </w:r>
            <w:r w:rsidR="00653E28" w:rsidRPr="00132934">
              <w:rPr>
                <w:rFonts w:ascii="Times New Roman" w:hAnsi="Times New Roman" w:cs="Times New Roman"/>
                <w:lang w:val="uk-UA"/>
              </w:rPr>
              <w:t xml:space="preserve"> (компенсація оренди)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275F" w:rsidP="0013293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20</w:t>
            </w:r>
            <w:r w:rsidR="00FD26F9" w:rsidRPr="00132934">
              <w:rPr>
                <w:rFonts w:ascii="Times New Roman" w:hAnsi="Times New Roman" w:cs="Times New Roman"/>
                <w:lang w:val="uk-UA"/>
              </w:rPr>
              <w:t>23-2025</w:t>
            </w:r>
            <w:r w:rsidRPr="00132934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8A3592" w:rsidP="00F94FE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 xml:space="preserve">Калинівська </w:t>
            </w:r>
            <w:r w:rsidR="00FF275F" w:rsidRPr="00132934">
              <w:rPr>
                <w:rFonts w:ascii="Times New Roman" w:hAnsi="Times New Roman" w:cs="Times New Roman"/>
                <w:lang w:val="uk-UA"/>
              </w:rPr>
              <w:t>селищна рада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lang w:val="uk-UA"/>
              </w:rPr>
              <w:t>1080,0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275F" w:rsidRPr="00132934" w:rsidRDefault="00FF275F" w:rsidP="00132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eastAsia="Times New Roman" w:hAnsi="Times New Roman" w:cs="Times New Roman"/>
                <w:lang w:val="uk-UA" w:eastAsia="uk-UA"/>
              </w:rPr>
              <w:t>Вирішення питання щодо отримання житла молодими спеціалістами та закріплення направлених спеціалістів на робочих місцях</w:t>
            </w:r>
          </w:p>
        </w:tc>
      </w:tr>
      <w:tr w:rsidR="00132934" w:rsidRPr="00132934" w:rsidTr="00F94FEB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FF275F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7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FF275F" w:rsidP="00132934">
            <w:pPr>
              <w:tabs>
                <w:tab w:val="left" w:pos="1611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653E28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50</w:t>
            </w:r>
            <w:r w:rsidR="000A26EE" w:rsidRPr="00132934">
              <w:rPr>
                <w:rFonts w:ascii="Times New Roman" w:hAnsi="Times New Roman" w:cs="Times New Roman"/>
                <w:b/>
                <w:bCs/>
                <w:lang w:val="uk-UA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  <w:r w:rsidR="00653E28" w:rsidRPr="00132934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70</w:t>
            </w:r>
            <w:r w:rsidR="00EE13D2" w:rsidRPr="00132934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  <w:r w:rsidR="00653E28" w:rsidRPr="00132934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85</w:t>
            </w:r>
            <w:r w:rsidR="00EE13D2" w:rsidRPr="00132934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0A26EE" w:rsidP="00132934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653E28" w:rsidRPr="00132934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32934">
              <w:rPr>
                <w:rFonts w:ascii="Times New Roman" w:hAnsi="Times New Roman" w:cs="Times New Roman"/>
                <w:b/>
                <w:lang w:val="uk-UA"/>
              </w:rPr>
              <w:t>17,0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5F" w:rsidRPr="00132934" w:rsidRDefault="00FF275F" w:rsidP="00F94FE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2934">
              <w:rPr>
                <w:rFonts w:ascii="Times New Roman" w:hAnsi="Times New Roman" w:cs="Times New Roman"/>
                <w:b/>
                <w:bCs/>
                <w:lang w:val="uk-UA"/>
              </w:rPr>
              <w:t>Х</w:t>
            </w:r>
          </w:p>
        </w:tc>
      </w:tr>
    </w:tbl>
    <w:p w:rsidR="0075662D" w:rsidRPr="00841E05" w:rsidRDefault="0075662D" w:rsidP="00E16C32">
      <w:pPr>
        <w:rPr>
          <w:rFonts w:ascii="Times New Roman" w:hAnsi="Times New Roman" w:cs="Times New Roman"/>
          <w:lang w:val="uk-UA"/>
        </w:rPr>
      </w:pPr>
    </w:p>
    <w:p w:rsidR="00132934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Комунального некомерційного підприємства </w:t>
      </w:r>
    </w:p>
    <w:p w:rsidR="00132934" w:rsidRPr="00132934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первинної медико-санітарної допомоги </w:t>
      </w:r>
    </w:p>
    <w:p w:rsidR="009A326F" w:rsidRPr="00841E05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>Калинівської селищної ради»</w:t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КУДРЕНКО</w:t>
      </w:r>
    </w:p>
    <w:sectPr w:rsidR="009A326F" w:rsidRPr="00841E05" w:rsidSect="00EE13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5DE"/>
    <w:multiLevelType w:val="multilevel"/>
    <w:tmpl w:val="7B806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5308A"/>
    <w:multiLevelType w:val="multilevel"/>
    <w:tmpl w:val="AB78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96766"/>
    <w:multiLevelType w:val="multilevel"/>
    <w:tmpl w:val="0AD63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B6BE3"/>
    <w:multiLevelType w:val="multilevel"/>
    <w:tmpl w:val="18C4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81475"/>
    <w:multiLevelType w:val="multilevel"/>
    <w:tmpl w:val="E42E4AA0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5" w15:restartNumberingAfterBreak="0">
    <w:nsid w:val="38EF71BA"/>
    <w:multiLevelType w:val="multilevel"/>
    <w:tmpl w:val="6A0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64C0D"/>
    <w:multiLevelType w:val="multilevel"/>
    <w:tmpl w:val="9E56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23B34"/>
    <w:multiLevelType w:val="multilevel"/>
    <w:tmpl w:val="E08AD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1877"/>
    <w:multiLevelType w:val="multilevel"/>
    <w:tmpl w:val="A4DC0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00BC4"/>
    <w:multiLevelType w:val="hybridMultilevel"/>
    <w:tmpl w:val="12CEEE1C"/>
    <w:lvl w:ilvl="0" w:tplc="20362E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0483866"/>
    <w:multiLevelType w:val="multilevel"/>
    <w:tmpl w:val="D8E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32"/>
    <w:rsid w:val="00002A9D"/>
    <w:rsid w:val="0000584B"/>
    <w:rsid w:val="00007BC0"/>
    <w:rsid w:val="0007246B"/>
    <w:rsid w:val="000A26EE"/>
    <w:rsid w:val="0011389B"/>
    <w:rsid w:val="00114ECF"/>
    <w:rsid w:val="00126B7B"/>
    <w:rsid w:val="00132934"/>
    <w:rsid w:val="0015060E"/>
    <w:rsid w:val="00193B70"/>
    <w:rsid w:val="001B2801"/>
    <w:rsid w:val="001E5F11"/>
    <w:rsid w:val="00216848"/>
    <w:rsid w:val="00253B07"/>
    <w:rsid w:val="00257DAE"/>
    <w:rsid w:val="00263C3C"/>
    <w:rsid w:val="00281A76"/>
    <w:rsid w:val="002E3004"/>
    <w:rsid w:val="00306207"/>
    <w:rsid w:val="00330569"/>
    <w:rsid w:val="003559EA"/>
    <w:rsid w:val="00363BA8"/>
    <w:rsid w:val="00390B5A"/>
    <w:rsid w:val="003A1FE0"/>
    <w:rsid w:val="003F0425"/>
    <w:rsid w:val="003F07A6"/>
    <w:rsid w:val="00441C10"/>
    <w:rsid w:val="00450799"/>
    <w:rsid w:val="00472E29"/>
    <w:rsid w:val="00480C2D"/>
    <w:rsid w:val="004948B5"/>
    <w:rsid w:val="004A512B"/>
    <w:rsid w:val="004B175E"/>
    <w:rsid w:val="00592F90"/>
    <w:rsid w:val="00621486"/>
    <w:rsid w:val="00634FCD"/>
    <w:rsid w:val="00653E28"/>
    <w:rsid w:val="006B4713"/>
    <w:rsid w:val="0075662D"/>
    <w:rsid w:val="00785349"/>
    <w:rsid w:val="007A35C3"/>
    <w:rsid w:val="007C7472"/>
    <w:rsid w:val="007E4699"/>
    <w:rsid w:val="00833E6E"/>
    <w:rsid w:val="00841E05"/>
    <w:rsid w:val="0088551F"/>
    <w:rsid w:val="00890EBE"/>
    <w:rsid w:val="00896646"/>
    <w:rsid w:val="008A3592"/>
    <w:rsid w:val="008B1C8A"/>
    <w:rsid w:val="008C16C7"/>
    <w:rsid w:val="008C2DE4"/>
    <w:rsid w:val="009105A7"/>
    <w:rsid w:val="00966EDD"/>
    <w:rsid w:val="009A326F"/>
    <w:rsid w:val="009E2BA7"/>
    <w:rsid w:val="00A23CCA"/>
    <w:rsid w:val="00A36F30"/>
    <w:rsid w:val="00A81DB9"/>
    <w:rsid w:val="00B31434"/>
    <w:rsid w:val="00B45AE4"/>
    <w:rsid w:val="00B57A66"/>
    <w:rsid w:val="00BB178A"/>
    <w:rsid w:val="00BD381A"/>
    <w:rsid w:val="00C67C35"/>
    <w:rsid w:val="00C77638"/>
    <w:rsid w:val="00C858E4"/>
    <w:rsid w:val="00C9098D"/>
    <w:rsid w:val="00CB1DCC"/>
    <w:rsid w:val="00CC0091"/>
    <w:rsid w:val="00D104BF"/>
    <w:rsid w:val="00D31420"/>
    <w:rsid w:val="00D4577F"/>
    <w:rsid w:val="00D842D1"/>
    <w:rsid w:val="00E11835"/>
    <w:rsid w:val="00E16C32"/>
    <w:rsid w:val="00E30267"/>
    <w:rsid w:val="00E773A8"/>
    <w:rsid w:val="00E94181"/>
    <w:rsid w:val="00EC6ECC"/>
    <w:rsid w:val="00EE13D2"/>
    <w:rsid w:val="00EE4EAA"/>
    <w:rsid w:val="00F20756"/>
    <w:rsid w:val="00F655A6"/>
    <w:rsid w:val="00F91A3C"/>
    <w:rsid w:val="00F94FEB"/>
    <w:rsid w:val="00F97152"/>
    <w:rsid w:val="00FB260B"/>
    <w:rsid w:val="00FC5971"/>
    <w:rsid w:val="00FD26F9"/>
    <w:rsid w:val="00FF275F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96A2"/>
  <w15:docId w15:val="{30318180-777D-40F5-8899-AE37855D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5349"/>
    <w:pPr>
      <w:ind w:left="720"/>
      <w:contextualSpacing/>
    </w:pPr>
  </w:style>
  <w:style w:type="paragraph" w:styleId="a6">
    <w:name w:val="No Spacing"/>
    <w:uiPriority w:val="1"/>
    <w:qFormat/>
    <w:rsid w:val="00B4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C201-DA3E-4074-8DBE-58BBCBA2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AdminPC</cp:lastModifiedBy>
  <cp:revision>7</cp:revision>
  <cp:lastPrinted>2021-04-05T13:32:00Z</cp:lastPrinted>
  <dcterms:created xsi:type="dcterms:W3CDTF">2022-12-16T09:49:00Z</dcterms:created>
  <dcterms:modified xsi:type="dcterms:W3CDTF">2022-12-20T12:58:00Z</dcterms:modified>
</cp:coreProperties>
</file>