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9959" w14:textId="77777777" w:rsidR="007B6801" w:rsidRDefault="007B6801" w:rsidP="00A63CC8">
      <w:pPr>
        <w:numPr>
          <w:ilvl w:val="0"/>
          <w:numId w:val="1"/>
        </w:numPr>
        <w:tabs>
          <w:tab w:val="clear" w:pos="432"/>
          <w:tab w:val="left" w:pos="227"/>
        </w:tabs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8EE1A6" w14:textId="77777777" w:rsidR="009E6FB2" w:rsidRPr="001B20EA" w:rsidRDefault="009E6FB2" w:rsidP="00CF51F2">
      <w:pPr>
        <w:tabs>
          <w:tab w:val="left" w:pos="227"/>
        </w:tabs>
        <w:suppressAutoHyphens w:val="0"/>
        <w:spacing w:after="0" w:line="240" w:lineRule="auto"/>
        <w:ind w:left="595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ЗАТВЕРДЖЕНО</w:t>
      </w:r>
    </w:p>
    <w:p w14:paraId="48734983" w14:textId="77777777" w:rsidR="009E6FB2" w:rsidRPr="001B20EA" w:rsidRDefault="009E6FB2" w:rsidP="00CF51F2">
      <w:pPr>
        <w:tabs>
          <w:tab w:val="left" w:pos="227"/>
        </w:tabs>
        <w:suppressAutoHyphens w:val="0"/>
        <w:spacing w:after="0" w:line="240" w:lineRule="auto"/>
        <w:ind w:left="595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Рішення </w:t>
      </w:r>
      <w:r w:rsidR="00CF51F2"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Калинівської</w:t>
      </w:r>
    </w:p>
    <w:p w14:paraId="09D806E0" w14:textId="77777777" w:rsidR="009E6FB2" w:rsidRPr="001B20EA" w:rsidRDefault="009E6FB2" w:rsidP="00CF51F2">
      <w:pPr>
        <w:tabs>
          <w:tab w:val="left" w:pos="227"/>
        </w:tabs>
        <w:suppressAutoHyphens w:val="0"/>
        <w:spacing w:after="0" w:line="240" w:lineRule="auto"/>
        <w:ind w:left="595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селищної ради</w:t>
      </w:r>
    </w:p>
    <w:p w14:paraId="3F8C8283" w14:textId="77777777" w:rsidR="009E6FB2" w:rsidRPr="001B20EA" w:rsidRDefault="009E6FB2" w:rsidP="00CF51F2">
      <w:pPr>
        <w:tabs>
          <w:tab w:val="left" w:pos="227"/>
        </w:tabs>
        <w:suppressAutoHyphens w:val="0"/>
        <w:spacing w:after="0" w:line="240" w:lineRule="auto"/>
        <w:ind w:left="595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від ___</w:t>
      </w:r>
      <w:r w:rsidR="00CF51F2"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1344D2"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2021 №</w:t>
      </w:r>
      <w:r w:rsidR="00AC66F1"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C3789D"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1B20E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B20E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</w:p>
    <w:p w14:paraId="0C77ABD7" w14:textId="77777777" w:rsidR="00AC66F1" w:rsidRPr="001B20EA" w:rsidRDefault="00AC66F1" w:rsidP="009E6FB2">
      <w:pPr>
        <w:tabs>
          <w:tab w:val="left" w:pos="227"/>
        </w:tabs>
        <w:suppressAutoHyphens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6081F2F" w14:textId="77777777" w:rsidR="00885A15" w:rsidRPr="001B20EA" w:rsidRDefault="00885A15" w:rsidP="00A721D9">
      <w:pPr>
        <w:spacing w:after="0" w:line="240" w:lineRule="auto"/>
        <w:ind w:right="284"/>
        <w:rPr>
          <w:rFonts w:ascii="Times New Roman" w:eastAsia="Times New Roman" w:hAnsi="Times New Roman"/>
          <w:sz w:val="28"/>
          <w:szCs w:val="28"/>
        </w:rPr>
      </w:pPr>
    </w:p>
    <w:p w14:paraId="60A1443C" w14:textId="77777777" w:rsidR="007B6801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bookmarkStart w:id="0" w:name="_Hlk62205662"/>
      <w:r w:rsidRPr="007B6801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Положення </w:t>
      </w:r>
    </w:p>
    <w:p w14:paraId="25C39CCC" w14:textId="77777777" w:rsidR="007B6801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7B6801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про платні медичні послуги, що надаються</w:t>
      </w:r>
    </w:p>
    <w:p w14:paraId="5C630045" w14:textId="77777777" w:rsidR="007B6801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7B6801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Комунальним некомерційним підприємством</w:t>
      </w:r>
    </w:p>
    <w:p w14:paraId="5D0E3FD1" w14:textId="77777777" w:rsidR="007B6801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7B6801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«Центр первинної медико-санітарної  допомоги </w:t>
      </w:r>
    </w:p>
    <w:p w14:paraId="06B30C39" w14:textId="77777777" w:rsidR="00563C3A" w:rsidRPr="007B6801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7B6801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Калинівської селищної  ради»</w:t>
      </w:r>
      <w:bookmarkEnd w:id="0"/>
    </w:p>
    <w:p w14:paraId="1DE88B46" w14:textId="77777777" w:rsidR="00A721D9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en-US"/>
        </w:rPr>
      </w:pPr>
    </w:p>
    <w:p w14:paraId="7D33C87A" w14:textId="77777777" w:rsidR="00A721D9" w:rsidRPr="00A721D9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1D9">
        <w:rPr>
          <w:rFonts w:ascii="Times New Roman" w:eastAsia="Times New Roman" w:hAnsi="Times New Roman"/>
          <w:b/>
          <w:sz w:val="28"/>
          <w:szCs w:val="28"/>
        </w:rPr>
        <w:t>1.</w:t>
      </w:r>
      <w:r w:rsidRPr="00A721D9">
        <w:rPr>
          <w:rFonts w:ascii="Times New Roman" w:eastAsia="Times New Roman" w:hAnsi="Times New Roman"/>
          <w:b/>
          <w:sz w:val="28"/>
          <w:szCs w:val="28"/>
        </w:rPr>
        <w:tab/>
        <w:t>Загальні положення</w:t>
      </w:r>
    </w:p>
    <w:p w14:paraId="469EFE89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1.1. Положення про платні </w:t>
      </w:r>
      <w:r w:rsidR="003D343C">
        <w:rPr>
          <w:rFonts w:ascii="Times New Roman" w:eastAsia="Times New Roman" w:hAnsi="Times New Roman"/>
          <w:sz w:val="28"/>
          <w:szCs w:val="28"/>
        </w:rPr>
        <w:t xml:space="preserve">медичні (в </w:t>
      </w:r>
      <w:proofErr w:type="spellStart"/>
      <w:r w:rsidR="003D343C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="003D343C">
        <w:rPr>
          <w:rFonts w:ascii="Times New Roman" w:eastAsia="Times New Roman" w:hAnsi="Times New Roman"/>
          <w:sz w:val="28"/>
          <w:szCs w:val="28"/>
        </w:rPr>
        <w:t xml:space="preserve">. стоматологічні) </w:t>
      </w:r>
      <w:r w:rsidRPr="00A721D9">
        <w:rPr>
          <w:rFonts w:ascii="Times New Roman" w:eastAsia="Times New Roman" w:hAnsi="Times New Roman"/>
          <w:sz w:val="28"/>
          <w:szCs w:val="28"/>
        </w:rPr>
        <w:t>послуги, які надаються Комунальним некомерційним підприємством «Центр первинної медико-санітарної  допомоги Калинівської селищної  ради» (далі — Положення) розроблено відповідно до частини восьмої статті 18 Закону України «Основи законодавства України про охорону здоров’я»; Статут</w:t>
      </w:r>
      <w:r w:rsidR="00A10EFD">
        <w:rPr>
          <w:rFonts w:ascii="Times New Roman" w:eastAsia="Times New Roman" w:hAnsi="Times New Roman"/>
          <w:sz w:val="28"/>
          <w:szCs w:val="28"/>
        </w:rPr>
        <w:t>у</w:t>
      </w:r>
      <w:r w:rsidRPr="00A721D9">
        <w:rPr>
          <w:rFonts w:ascii="Times New Roman" w:eastAsia="Times New Roman" w:hAnsi="Times New Roman"/>
          <w:sz w:val="28"/>
          <w:szCs w:val="28"/>
        </w:rPr>
        <w:t xml:space="preserve"> </w:t>
      </w:r>
      <w:r w:rsidR="00A10EFD" w:rsidRPr="00A10EFD">
        <w:rPr>
          <w:rFonts w:ascii="Times New Roman" w:eastAsia="Times New Roman" w:hAnsi="Times New Roman"/>
          <w:sz w:val="28"/>
          <w:szCs w:val="28"/>
        </w:rPr>
        <w:t>Комунальн</w:t>
      </w:r>
      <w:r w:rsidR="00A10EFD">
        <w:rPr>
          <w:rFonts w:ascii="Times New Roman" w:eastAsia="Times New Roman" w:hAnsi="Times New Roman"/>
          <w:sz w:val="28"/>
          <w:szCs w:val="28"/>
        </w:rPr>
        <w:t>ого</w:t>
      </w:r>
      <w:r w:rsidR="00A10EFD" w:rsidRPr="00A10EFD">
        <w:rPr>
          <w:rFonts w:ascii="Times New Roman" w:eastAsia="Times New Roman" w:hAnsi="Times New Roman"/>
          <w:sz w:val="28"/>
          <w:szCs w:val="28"/>
        </w:rPr>
        <w:t xml:space="preserve"> некомерційн</w:t>
      </w:r>
      <w:r w:rsidR="00A10EFD">
        <w:rPr>
          <w:rFonts w:ascii="Times New Roman" w:eastAsia="Times New Roman" w:hAnsi="Times New Roman"/>
          <w:sz w:val="28"/>
          <w:szCs w:val="28"/>
        </w:rPr>
        <w:t>ого</w:t>
      </w:r>
      <w:r w:rsidR="00A10EFD" w:rsidRPr="00A10EFD">
        <w:rPr>
          <w:rFonts w:ascii="Times New Roman" w:eastAsia="Times New Roman" w:hAnsi="Times New Roman"/>
          <w:sz w:val="28"/>
          <w:szCs w:val="28"/>
        </w:rPr>
        <w:t xml:space="preserve"> підприємств</w:t>
      </w:r>
      <w:r w:rsidR="00A10EFD">
        <w:rPr>
          <w:rFonts w:ascii="Times New Roman" w:eastAsia="Times New Roman" w:hAnsi="Times New Roman"/>
          <w:sz w:val="28"/>
          <w:szCs w:val="28"/>
        </w:rPr>
        <w:t>а</w:t>
      </w:r>
      <w:r w:rsidR="00A10EFD" w:rsidRPr="00A10EFD">
        <w:rPr>
          <w:rFonts w:ascii="Times New Roman" w:eastAsia="Times New Roman" w:hAnsi="Times New Roman"/>
          <w:sz w:val="28"/>
          <w:szCs w:val="28"/>
        </w:rPr>
        <w:t xml:space="preserve"> «Центр первинної медико-санітарної  допомоги Калинівської селищної  ради»</w:t>
      </w:r>
      <w:r w:rsidR="00A10E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>(далі — КНП), яким передбачено можливість надання платних послуг.</w:t>
      </w:r>
    </w:p>
    <w:p w14:paraId="5C979E51" w14:textId="77777777" w:rsidR="00A721D9" w:rsidRPr="00A721D9" w:rsidRDefault="00A721D9" w:rsidP="00A10E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1.2. В основі Положення:</w:t>
      </w:r>
    </w:p>
    <w:p w14:paraId="3FA16D61" w14:textId="77777777" w:rsidR="00A721D9" w:rsidRPr="00A721D9" w:rsidRDefault="00A721D9" w:rsidP="00A10EFD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- Закон України «Про ціни та ціноутворення» від 21.06.2012 р. № 5007-VI;</w:t>
      </w:r>
    </w:p>
    <w:p w14:paraId="2EEE07EB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- Постанова КМУ від 17.09.1996 №1138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(далі — Перелік №1138);</w:t>
      </w:r>
    </w:p>
    <w:p w14:paraId="7CB28880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- Постанова КМУ від 27.12.2017 №1075 «Про затвердження Методики розрахунку вартості послуги з медичного обслуговування» (далі – Методика №1075);</w:t>
      </w:r>
    </w:p>
    <w:p w14:paraId="682B974D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- Національне положення (стандарт) бухгалтерського обліку 16 «Витрати», затверджений наказом Міністерства фінансів України від 31.12.1999 № 318 (далі - П(С)БО 16).</w:t>
      </w:r>
    </w:p>
    <w:p w14:paraId="6B58481A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1.3. Мета Положення — підвищення рівня якості медичного обслуговування шляхом регламентування процесу надання платних послуг КНП, створення методологічної бази для розрахунку їх собівартості, обґрунтування тарифів на платні послуги КНП.</w:t>
      </w:r>
    </w:p>
    <w:p w14:paraId="34D2F333" w14:textId="77777777" w:rsidR="00A721D9" w:rsidRPr="00A721D9" w:rsidRDefault="00A721D9" w:rsidP="00A721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BC8B8C8" w14:textId="77777777" w:rsidR="00A721D9" w:rsidRPr="00A721D9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1D9">
        <w:rPr>
          <w:rFonts w:ascii="Times New Roman" w:eastAsia="Times New Roman" w:hAnsi="Times New Roman"/>
          <w:b/>
          <w:sz w:val="28"/>
          <w:szCs w:val="28"/>
        </w:rPr>
        <w:t>2. Порядок надання платних послуг</w:t>
      </w:r>
    </w:p>
    <w:p w14:paraId="7E658E8B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2.1. КНП надає платні </w:t>
      </w:r>
      <w:r w:rsidR="003D343C" w:rsidRPr="003D343C">
        <w:rPr>
          <w:rFonts w:ascii="Times New Roman" w:eastAsia="Times New Roman" w:hAnsi="Times New Roman"/>
          <w:sz w:val="28"/>
          <w:szCs w:val="28"/>
        </w:rPr>
        <w:t xml:space="preserve">медичні (в </w:t>
      </w:r>
      <w:proofErr w:type="spellStart"/>
      <w:r w:rsidR="003D343C" w:rsidRPr="003D343C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="003D343C" w:rsidRPr="003D343C">
        <w:rPr>
          <w:rFonts w:ascii="Times New Roman" w:eastAsia="Times New Roman" w:hAnsi="Times New Roman"/>
          <w:sz w:val="28"/>
          <w:szCs w:val="28"/>
        </w:rPr>
        <w:t xml:space="preserve">. стоматологічні) </w:t>
      </w:r>
      <w:r w:rsidRPr="00A721D9">
        <w:rPr>
          <w:rFonts w:ascii="Times New Roman" w:eastAsia="Times New Roman" w:hAnsi="Times New Roman"/>
          <w:sz w:val="28"/>
          <w:szCs w:val="28"/>
        </w:rPr>
        <w:t>послуги на засадах, визначених Статутом КНП: провадить цю діяльність як господарську некомерційну, спрямовану на досягнення соціальних цілей, без мети одержання прибутку. Соціальні цілі полягають у реалізації права на охорону здоров’я згідно зі статтею 6 Закону «Основи законодавства України про охорону здоров'я».</w:t>
      </w:r>
    </w:p>
    <w:p w14:paraId="191A6C0D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2.2. КНП надає платні </w:t>
      </w:r>
      <w:r w:rsidR="003D343C" w:rsidRPr="003D343C">
        <w:rPr>
          <w:rFonts w:ascii="Times New Roman" w:eastAsia="Times New Roman" w:hAnsi="Times New Roman"/>
          <w:sz w:val="28"/>
          <w:szCs w:val="28"/>
        </w:rPr>
        <w:t xml:space="preserve">медичні (в </w:t>
      </w:r>
      <w:proofErr w:type="spellStart"/>
      <w:r w:rsidR="003D343C" w:rsidRPr="003D343C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="003D343C" w:rsidRPr="003D343C">
        <w:rPr>
          <w:rFonts w:ascii="Times New Roman" w:eastAsia="Times New Roman" w:hAnsi="Times New Roman"/>
          <w:sz w:val="28"/>
          <w:szCs w:val="28"/>
        </w:rPr>
        <w:t xml:space="preserve">. стоматологічні) </w:t>
      </w:r>
      <w:r w:rsidRPr="00A721D9">
        <w:rPr>
          <w:rFonts w:ascii="Times New Roman" w:eastAsia="Times New Roman" w:hAnsi="Times New Roman"/>
          <w:sz w:val="28"/>
          <w:szCs w:val="28"/>
        </w:rPr>
        <w:t xml:space="preserve">послуги у межах Переліку №1138. Медичні послуги деталізуються за конкретними медичними процедурами (послугами) та операціями. Перелік визначається на підставі галузевих класифікаторів (Класифікатора медичних інтервенцій, Класифікатора лабораторних досліджень та показників, Тимчасового </w:t>
      </w:r>
      <w:r w:rsidRPr="00A721D9">
        <w:rPr>
          <w:rFonts w:ascii="Times New Roman" w:eastAsia="Times New Roman" w:hAnsi="Times New Roman"/>
          <w:sz w:val="28"/>
          <w:szCs w:val="28"/>
        </w:rPr>
        <w:lastRenderedPageBreak/>
        <w:t>галузевого класифікатора медичних процедур (послуг) та хірургічних операцій, тощо), а також інших галузевих медичних стандартів та протоколів лікування, і затверджується керівником КНП.</w:t>
      </w:r>
    </w:p>
    <w:p w14:paraId="25AFE473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2.3. Трудові, економічні та соціальні відносини КНП і працівників, які беруть участь у наданні платних послуг, регулює колективний договір. КНП залучає працівників до надання платних послуг на основі колективного договору та посадових інструкцій.</w:t>
      </w:r>
    </w:p>
    <w:p w14:paraId="67DBCC51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2.4. Послуги, вказані в п. 2.1, надаються на підставі тарифів. Тарифи на платні послуги затверджуються керівником КНП. </w:t>
      </w:r>
    </w:p>
    <w:p w14:paraId="763A36A2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2.5. Інформація щодо переліку послуг, які надає КНП, їх вартості та порядку оплати розміщується на інформаційних стендах у доступних для відвідувачів КНП місцях, а також на офіційному веб-сайті </w:t>
      </w:r>
      <w:r w:rsidR="00697AB0">
        <w:rPr>
          <w:rFonts w:ascii="Times New Roman" w:eastAsia="Times New Roman" w:hAnsi="Times New Roman"/>
          <w:sz w:val="28"/>
          <w:szCs w:val="28"/>
        </w:rPr>
        <w:t xml:space="preserve">(сторінці) </w:t>
      </w:r>
      <w:r w:rsidRPr="00A721D9">
        <w:rPr>
          <w:rFonts w:ascii="Times New Roman" w:eastAsia="Times New Roman" w:hAnsi="Times New Roman"/>
          <w:sz w:val="28"/>
          <w:szCs w:val="28"/>
        </w:rPr>
        <w:t>КНП.</w:t>
      </w:r>
    </w:p>
    <w:p w14:paraId="324EE4AE" w14:textId="77777777" w:rsidR="00A721D9" w:rsidRPr="00A721D9" w:rsidRDefault="00A721D9" w:rsidP="00A10EF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2.6. Відповідальність за належне застосування тарифів на платні послуги, належну організацію доведення їх до замовників (споживачів) послуг, якість та повноту надання платних послуг, несе керівник КНП.</w:t>
      </w:r>
    </w:p>
    <w:p w14:paraId="17A7BC8F" w14:textId="77777777" w:rsidR="00A721D9" w:rsidRPr="00A721D9" w:rsidRDefault="00A721D9" w:rsidP="00A721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F96928" w14:textId="77777777" w:rsidR="00A721D9" w:rsidRPr="00A721D9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1D9">
        <w:rPr>
          <w:rFonts w:ascii="Times New Roman" w:eastAsia="Times New Roman" w:hAnsi="Times New Roman"/>
          <w:b/>
          <w:sz w:val="28"/>
          <w:szCs w:val="28"/>
        </w:rPr>
        <w:t>3. Розрахунок тарифів на платні послуги</w:t>
      </w:r>
    </w:p>
    <w:p w14:paraId="3343E7A4" w14:textId="77777777" w:rsidR="00A721D9" w:rsidRPr="00A721D9" w:rsidRDefault="00A721D9" w:rsidP="00697AB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3.1. Тарифи на платні </w:t>
      </w:r>
      <w:r w:rsidR="003D343C" w:rsidRPr="003D343C">
        <w:rPr>
          <w:rFonts w:ascii="Times New Roman" w:eastAsia="Times New Roman" w:hAnsi="Times New Roman"/>
          <w:sz w:val="28"/>
          <w:szCs w:val="28"/>
        </w:rPr>
        <w:t xml:space="preserve">медичні (в </w:t>
      </w:r>
      <w:proofErr w:type="spellStart"/>
      <w:r w:rsidR="003D343C" w:rsidRPr="003D343C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="003D343C" w:rsidRPr="003D343C">
        <w:rPr>
          <w:rFonts w:ascii="Times New Roman" w:eastAsia="Times New Roman" w:hAnsi="Times New Roman"/>
          <w:sz w:val="28"/>
          <w:szCs w:val="28"/>
        </w:rPr>
        <w:t xml:space="preserve">. стоматологічні) </w:t>
      </w:r>
      <w:r w:rsidRPr="00A721D9">
        <w:rPr>
          <w:rFonts w:ascii="Times New Roman" w:eastAsia="Times New Roman" w:hAnsi="Times New Roman"/>
          <w:sz w:val="28"/>
          <w:szCs w:val="28"/>
        </w:rPr>
        <w:t>послуги, що надаються в КНП, розраховуються індивідуально з урахуванням економічно обґрунтованих витрат. У розрахунки тарифів задіяні всі витрати КНП, незалежно від джерел їх фінансування. КНП самостійно визначає калькуляційну одиницю послуги.</w:t>
      </w:r>
    </w:p>
    <w:p w14:paraId="4F1A5CB0" w14:textId="77777777" w:rsidR="00A721D9" w:rsidRPr="00A721D9" w:rsidRDefault="00A721D9" w:rsidP="00A10E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3.2. Розрахунок собівартості платних послуг здійснюється:</w:t>
      </w:r>
    </w:p>
    <w:p w14:paraId="4162AB2C" w14:textId="77777777" w:rsidR="00A721D9" w:rsidRPr="00A721D9" w:rsidRDefault="00A721D9" w:rsidP="00697AB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- методом покрокового розподілу витрат «зверху донизу», визначеним Методикою № 1075;</w:t>
      </w:r>
    </w:p>
    <w:p w14:paraId="014D8BA8" w14:textId="77777777" w:rsidR="00A721D9" w:rsidRPr="00A721D9" w:rsidRDefault="00A721D9" w:rsidP="00697AB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- нормативно-витратним методом на підставі державних і галузевих норм використання матеріальних ресурсів, норм часу, норм оплати праці, цін на медикаменти, витратні матеріали та вироби медичного призначення, витрат, пов’язаних з управлінням і обслуговуванням КНП, тощо, за принципами класифікації витрат та розрахунку фактичної собівартості у П(С)БО 16.</w:t>
      </w:r>
    </w:p>
    <w:p w14:paraId="16F36940" w14:textId="77777777" w:rsidR="00A721D9" w:rsidRPr="00A721D9" w:rsidRDefault="00B71BC9" w:rsidP="00697AB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  </w:t>
      </w:r>
      <w:r w:rsidR="00A721D9" w:rsidRPr="00A721D9">
        <w:rPr>
          <w:rFonts w:ascii="Times New Roman" w:eastAsia="Times New Roman" w:hAnsi="Times New Roman"/>
          <w:sz w:val="28"/>
          <w:szCs w:val="28"/>
        </w:rPr>
        <w:t xml:space="preserve">Державне регулювання цін здійснюється виконавчим комітетом </w:t>
      </w:r>
      <w:r>
        <w:rPr>
          <w:rFonts w:ascii="Times New Roman" w:eastAsia="Times New Roman" w:hAnsi="Times New Roman"/>
          <w:sz w:val="28"/>
          <w:szCs w:val="28"/>
        </w:rPr>
        <w:t xml:space="preserve">Калинівської селищної </w:t>
      </w:r>
      <w:r w:rsidR="00A721D9" w:rsidRPr="00A721D9">
        <w:rPr>
          <w:rFonts w:ascii="Times New Roman" w:eastAsia="Times New Roman" w:hAnsi="Times New Roman"/>
          <w:sz w:val="28"/>
          <w:szCs w:val="28"/>
        </w:rPr>
        <w:t>ради відповідно до ст.28 Закону України «Про місцеве самоврядування в Україні».</w:t>
      </w:r>
    </w:p>
    <w:p w14:paraId="13197F17" w14:textId="77777777" w:rsidR="00A721D9" w:rsidRPr="00A721D9" w:rsidRDefault="00A721D9" w:rsidP="00697AB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3.4.   Технічна реалізація розрахунку тарифів проводиться з використанням стандартних продуктів </w:t>
      </w:r>
      <w:proofErr w:type="spellStart"/>
      <w:r w:rsidRPr="00A721D9">
        <w:rPr>
          <w:rFonts w:ascii="Times New Roman" w:eastAsia="Times New Roman" w:hAnsi="Times New Roman"/>
          <w:sz w:val="28"/>
          <w:szCs w:val="28"/>
        </w:rPr>
        <w:t>MSOffice</w:t>
      </w:r>
      <w:proofErr w:type="spellEnd"/>
      <w:r w:rsidRPr="00A721D9">
        <w:rPr>
          <w:rFonts w:ascii="Times New Roman" w:eastAsia="Times New Roman" w:hAnsi="Times New Roman"/>
          <w:sz w:val="28"/>
          <w:szCs w:val="28"/>
        </w:rPr>
        <w:t xml:space="preserve"> та/або за допомогою спеціально розробленого програмного забезпечення.</w:t>
      </w:r>
    </w:p>
    <w:p w14:paraId="542D553B" w14:textId="77777777" w:rsidR="00A721D9" w:rsidRPr="00A721D9" w:rsidRDefault="00A721D9" w:rsidP="00A721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A2B9FA5" w14:textId="77777777" w:rsidR="00A721D9" w:rsidRPr="00A721D9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1D9">
        <w:rPr>
          <w:rFonts w:ascii="Times New Roman" w:eastAsia="Times New Roman" w:hAnsi="Times New Roman"/>
          <w:b/>
          <w:sz w:val="28"/>
          <w:szCs w:val="28"/>
        </w:rPr>
        <w:t>4. Оплата послуг</w:t>
      </w:r>
    </w:p>
    <w:p w14:paraId="269871FB" w14:textId="77777777" w:rsidR="00A721D9" w:rsidRPr="00A721D9" w:rsidRDefault="00A721D9" w:rsidP="00B71BC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4.1. КНП приймає оплату за платні послуги від фізичних і юридичних осіб, зокрема від страхових компаній.</w:t>
      </w:r>
    </w:p>
    <w:p w14:paraId="41597962" w14:textId="77777777" w:rsidR="00A721D9" w:rsidRPr="00A721D9" w:rsidRDefault="00A721D9" w:rsidP="00B71BC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4.2. Фізичні особи розраховуються у готівковій і безготівковій формі, юридичні — тільки в безготівковій. Розрахунки з фізичними особами здійснюються з дотриманням вимог Положення про ведення касових операцій у національній валюті в Україні, затвердженого Постановою Правління Національного банку України від 29.12.2017 № 148.</w:t>
      </w:r>
    </w:p>
    <w:p w14:paraId="20927E38" w14:textId="77777777" w:rsidR="00A721D9" w:rsidRPr="00A721D9" w:rsidRDefault="00A721D9" w:rsidP="00B71BC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4.3. В залежності від виду платної послуги оплата здійснюється перед наданням такої послуги або по факту її надання.</w:t>
      </w:r>
    </w:p>
    <w:p w14:paraId="2F00E71D" w14:textId="77777777" w:rsidR="00A721D9" w:rsidRPr="00A721D9" w:rsidRDefault="00A721D9" w:rsidP="00B71BC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lastRenderedPageBreak/>
        <w:t>4.4. Відповідальні особи надають платні послуги тільки після пред’явлення отримувачем послуги документа про оплату — квитанції, прибуткового касового ордера, фіскального чека РРО, банківської квитанції, тощо.</w:t>
      </w:r>
    </w:p>
    <w:p w14:paraId="50AF02EC" w14:textId="77777777" w:rsidR="00A721D9" w:rsidRPr="00A721D9" w:rsidRDefault="00A721D9" w:rsidP="00B71BC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4.5. Факт надання платної послуги фіксується в акті надання послуг та/або в іншому затвердженому КПН документі, що фіксує такий факт.</w:t>
      </w:r>
    </w:p>
    <w:p w14:paraId="65100B32" w14:textId="77777777" w:rsidR="00A721D9" w:rsidRPr="00A721D9" w:rsidRDefault="00A721D9" w:rsidP="00A721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38A79D9" w14:textId="77777777" w:rsidR="00A721D9" w:rsidRPr="00A721D9" w:rsidRDefault="00A721D9" w:rsidP="00A721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1D9">
        <w:rPr>
          <w:rFonts w:ascii="Times New Roman" w:eastAsia="Times New Roman" w:hAnsi="Times New Roman"/>
          <w:b/>
          <w:sz w:val="28"/>
          <w:szCs w:val="28"/>
        </w:rPr>
        <w:t>5. Розподіл та використання грошових надходжень</w:t>
      </w:r>
    </w:p>
    <w:p w14:paraId="627136E6" w14:textId="77777777" w:rsidR="00A721D9" w:rsidRPr="00A721D9" w:rsidRDefault="00A721D9" w:rsidP="00B71BC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5.1. Кошти, отримані від надання платних послуг, КНП використовує виключно в межах статутної діяльності, з дотриманням пунктів Статуту, що забороняють прямий розподіл прибутку між засновниками та працівниками, для фінансування видатків на утримання закладу, реалізації мети (цілей, завдань) та напрямів діяльності, визначених Статутом КНП (</w:t>
      </w:r>
      <w:proofErr w:type="spellStart"/>
      <w:r w:rsidRPr="00A721D9">
        <w:rPr>
          <w:rFonts w:ascii="Times New Roman" w:eastAsia="Times New Roman" w:hAnsi="Times New Roman"/>
          <w:sz w:val="28"/>
          <w:szCs w:val="28"/>
        </w:rPr>
        <w:t>п.п</w:t>
      </w:r>
      <w:proofErr w:type="spellEnd"/>
      <w:r w:rsidRPr="00A721D9">
        <w:rPr>
          <w:rFonts w:ascii="Times New Roman" w:eastAsia="Times New Roman" w:hAnsi="Times New Roman"/>
          <w:sz w:val="28"/>
          <w:szCs w:val="28"/>
        </w:rPr>
        <w:t>. 133.4.2 п. 133.4 ст. 133 Податкового кодексу України).</w:t>
      </w:r>
    </w:p>
    <w:p w14:paraId="2C53F0D2" w14:textId="77777777" w:rsidR="00A721D9" w:rsidRPr="00A721D9" w:rsidRDefault="00A721D9" w:rsidP="00B71BC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5.2. Пріоритетні напрями використання коштів, отриманих за надання платних послуг:</w:t>
      </w:r>
    </w:p>
    <w:p w14:paraId="2B4A64E8" w14:textId="77777777" w:rsidR="00A721D9" w:rsidRPr="00A721D9" w:rsidRDefault="00A721D9" w:rsidP="00B71BC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•</w:t>
      </w:r>
      <w:r w:rsidRPr="00A721D9">
        <w:rPr>
          <w:rFonts w:ascii="Times New Roman" w:eastAsia="Times New Roman" w:hAnsi="Times New Roman"/>
          <w:sz w:val="28"/>
          <w:szCs w:val="28"/>
        </w:rPr>
        <w:tab/>
        <w:t>оплата праці працівників КНП — передусім тих, які забезпечують надання платних послуг; сплата ЄСВ, інших податків і зборів;</w:t>
      </w:r>
    </w:p>
    <w:p w14:paraId="600DF018" w14:textId="77777777" w:rsidR="00A721D9" w:rsidRPr="00A721D9" w:rsidRDefault="00A721D9" w:rsidP="00B71BC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>•</w:t>
      </w:r>
      <w:r w:rsidRPr="00A721D9">
        <w:rPr>
          <w:rFonts w:ascii="Times New Roman" w:eastAsia="Times New Roman" w:hAnsi="Times New Roman"/>
          <w:sz w:val="28"/>
          <w:szCs w:val="28"/>
        </w:rPr>
        <w:tab/>
        <w:t>оновлення матеріально-технічної бази КНП.</w:t>
      </w:r>
    </w:p>
    <w:p w14:paraId="11C0C46E" w14:textId="77777777" w:rsidR="00B71BC9" w:rsidRDefault="00B71BC9" w:rsidP="00A721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B3C5F2B" w14:textId="77777777" w:rsidR="00B71BC9" w:rsidRDefault="00B71BC9" w:rsidP="00A721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61BB8BB" w14:textId="77777777" w:rsidR="00A721D9" w:rsidRPr="00A721D9" w:rsidRDefault="00A721D9" w:rsidP="00A721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308ABC0B" w14:textId="77777777" w:rsidR="00A721D9" w:rsidRPr="00A721D9" w:rsidRDefault="00A721D9" w:rsidP="00A721D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bidi="uk-UA"/>
        </w:rPr>
      </w:pPr>
      <w:r w:rsidRPr="00A721D9"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 xml:space="preserve">Селищний голова </w:t>
      </w:r>
      <w:r w:rsidRPr="00A721D9"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ab/>
      </w:r>
      <w:r w:rsidRPr="00A721D9"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ab/>
      </w:r>
      <w:r w:rsidRPr="00A721D9"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ab/>
      </w:r>
      <w:r w:rsidRPr="00A721D9"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ab/>
        <w:t xml:space="preserve">     </w:t>
      </w:r>
      <w:r w:rsidRPr="00A721D9"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ab/>
        <w:t xml:space="preserve">            Юлія ОЛЕКСЕНКО</w:t>
      </w:r>
    </w:p>
    <w:p w14:paraId="555CD13B" w14:textId="77777777" w:rsidR="00A721D9" w:rsidRPr="00A721D9" w:rsidRDefault="00A721D9" w:rsidP="00A721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721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A721D9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64D3991A" w14:textId="77777777" w:rsidR="00563C3A" w:rsidRPr="001B20EA" w:rsidRDefault="00563C3A" w:rsidP="00A721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23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882"/>
        <w:gridCol w:w="1971"/>
        <w:gridCol w:w="830"/>
        <w:gridCol w:w="1280"/>
        <w:gridCol w:w="2499"/>
      </w:tblGrid>
      <w:tr w:rsidR="00A721D9" w:rsidRPr="00A721D9" w14:paraId="7714F560" w14:textId="77777777" w:rsidTr="00A721D9">
        <w:trPr>
          <w:jc w:val="center"/>
        </w:trPr>
        <w:tc>
          <w:tcPr>
            <w:tcW w:w="1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55E07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21D9" w:rsidRPr="00A721D9" w14:paraId="2843FE43" w14:textId="77777777" w:rsidTr="00A721D9">
        <w:trPr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664F9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CA376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7BB35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5DC30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CE1B2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B55B6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21D9" w:rsidRPr="00A721D9" w14:paraId="4D214B03" w14:textId="77777777" w:rsidTr="00A721D9">
        <w:trPr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E0D55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24A2D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46117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D606E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95B30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C2AC3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21D9" w:rsidRPr="00A721D9" w14:paraId="1758AB09" w14:textId="77777777" w:rsidTr="00A721D9">
        <w:trPr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79992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B2399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168D8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FEC27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3822B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5519B" w14:textId="77777777" w:rsidR="00A721D9" w:rsidRPr="00A721D9" w:rsidRDefault="00A721D9" w:rsidP="00A7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FA64692" w14:textId="77777777"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8EE21C2" w14:textId="77777777"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291FDB3" w14:textId="77777777" w:rsidR="00563C3A" w:rsidRPr="001B20E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5BE76ED" w14:textId="77777777" w:rsidR="00563C3A" w:rsidRDefault="00563C3A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6E50CBB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264956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3D83531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87D878B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2C5CB52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915CAE0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414D528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E423AF2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DDC2078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0D66B2B" w14:textId="77777777" w:rsidR="003D343C" w:rsidRDefault="003D343C" w:rsidP="005C7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9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825"/>
        <w:gridCol w:w="1238"/>
        <w:gridCol w:w="780"/>
        <w:gridCol w:w="1053"/>
        <w:gridCol w:w="2807"/>
      </w:tblGrid>
      <w:tr w:rsidR="00B71BC9" w:rsidRPr="005E00B1" w14:paraId="380C0902" w14:textId="77777777" w:rsidTr="005E00B1">
        <w:trPr>
          <w:trHeight w:val="15535"/>
          <w:jc w:val="center"/>
        </w:trPr>
        <w:tc>
          <w:tcPr>
            <w:tcW w:w="9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26B6" w14:textId="77777777" w:rsidR="00B71BC9" w:rsidRPr="005E00B1" w:rsidRDefault="00B71BC9" w:rsidP="00F87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B2C" w:rsidRPr="005E00B1" w14:paraId="354076F3" w14:textId="77777777" w:rsidTr="007B6801">
        <w:trPr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252FD" w14:textId="77777777" w:rsidR="00B71BC9" w:rsidRPr="00B71BC9" w:rsidRDefault="00B71BC9" w:rsidP="00EB2B2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95C3" w14:textId="77777777" w:rsidR="00B71BC9" w:rsidRPr="00B71BC9" w:rsidRDefault="00B71BC9" w:rsidP="00B71BC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C6297" w14:textId="77777777" w:rsidR="00B71BC9" w:rsidRPr="00B71BC9" w:rsidRDefault="00B71BC9" w:rsidP="00B71BC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EDB00" w14:textId="77777777" w:rsidR="00B71BC9" w:rsidRPr="00B71BC9" w:rsidRDefault="00B71BC9" w:rsidP="00B71BC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465EC" w14:textId="77777777" w:rsidR="00B71BC9" w:rsidRPr="00B71BC9" w:rsidRDefault="00B71BC9" w:rsidP="00B71BC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6B6D2" w14:textId="77777777" w:rsidR="00B71BC9" w:rsidRPr="005E00B1" w:rsidRDefault="00B71BC9" w:rsidP="00EB2B2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2007E5" w14:textId="77777777" w:rsidR="00B71BC9" w:rsidRPr="001B20EA" w:rsidRDefault="00B71BC9" w:rsidP="00407A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  <w:sectPr w:rsidR="00B71BC9" w:rsidRPr="001B20EA" w:rsidSect="005E00B1">
          <w:headerReference w:type="even" r:id="rId8"/>
          <w:headerReference w:type="default" r:id="rId9"/>
          <w:footerReference w:type="default" r:id="rId10"/>
          <w:pgSz w:w="11906" w:h="16838" w:code="9"/>
          <w:pgMar w:top="142" w:right="707" w:bottom="142" w:left="1701" w:header="57" w:footer="397" w:gutter="0"/>
          <w:pgNumType w:start="3"/>
          <w:cols w:space="720"/>
          <w:titlePg/>
          <w:docGrid w:linePitch="600" w:charSpace="36864"/>
        </w:sectPr>
      </w:pPr>
    </w:p>
    <w:p w14:paraId="38DB97D6" w14:textId="77777777" w:rsidR="003D2AD6" w:rsidRDefault="003D2AD6" w:rsidP="002C19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3D2AD6" w:rsidSect="0021103B">
      <w:pgSz w:w="16838" w:h="11906" w:orient="landscape"/>
      <w:pgMar w:top="567" w:right="567" w:bottom="567" w:left="993" w:header="340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6417" w14:textId="77777777" w:rsidR="00C113B7" w:rsidRDefault="00C113B7">
      <w:pPr>
        <w:spacing w:after="0" w:line="240" w:lineRule="auto"/>
      </w:pPr>
      <w:r>
        <w:separator/>
      </w:r>
    </w:p>
  </w:endnote>
  <w:endnote w:type="continuationSeparator" w:id="0">
    <w:p w14:paraId="22B8BBAA" w14:textId="77777777" w:rsidR="00C113B7" w:rsidRDefault="00C1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B698" w14:textId="77777777" w:rsidR="003D2AD6" w:rsidRPr="007F268C" w:rsidRDefault="003D2AD6" w:rsidP="007F268C">
    <w:pPr>
      <w:pStyle w:val="ab"/>
      <w:jc w:val="center"/>
      <w:rPr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7F95" w14:textId="77777777" w:rsidR="00C113B7" w:rsidRDefault="00C113B7">
      <w:pPr>
        <w:spacing w:after="0" w:line="240" w:lineRule="auto"/>
      </w:pPr>
      <w:r>
        <w:separator/>
      </w:r>
    </w:p>
  </w:footnote>
  <w:footnote w:type="continuationSeparator" w:id="0">
    <w:p w14:paraId="4DCC522D" w14:textId="77777777" w:rsidR="00C113B7" w:rsidRDefault="00C1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119D" w14:textId="77777777" w:rsidR="00F325FE" w:rsidRDefault="00F325FE" w:rsidP="00572985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C888016" w14:textId="77777777" w:rsidR="00F325FE" w:rsidRDefault="00F325F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35DE" w14:textId="77777777" w:rsidR="005841FF" w:rsidRPr="005841FF" w:rsidRDefault="005841FF">
    <w:pPr>
      <w:pStyle w:val="ad"/>
      <w:jc w:val="right"/>
      <w:rPr>
        <w:rFonts w:ascii="Times New Roman" w:hAnsi="Times New Roman"/>
      </w:rPr>
    </w:pPr>
  </w:p>
  <w:p w14:paraId="14755BAB" w14:textId="77777777" w:rsidR="005841FF" w:rsidRDefault="005841F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eastAsia="Times New Roman" w:hAnsi="Times New Roman" w:cs="Times New Roman" w:hint="default"/>
        <w:color w:val="2B2B2B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pacing w:val="-6"/>
        <w:sz w:val="28"/>
        <w:szCs w:val="28"/>
        <w:lang w:val="uk-UA"/>
      </w:rPr>
    </w:lvl>
  </w:abstractNum>
  <w:abstractNum w:abstractNumId="5" w15:restartNumberingAfterBreak="0">
    <w:nsid w:val="09011DFB"/>
    <w:multiLevelType w:val="hybridMultilevel"/>
    <w:tmpl w:val="E898C970"/>
    <w:lvl w:ilvl="0" w:tplc="290C3894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1BA136F4"/>
    <w:multiLevelType w:val="hybridMultilevel"/>
    <w:tmpl w:val="A442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61B44"/>
    <w:multiLevelType w:val="hybridMultilevel"/>
    <w:tmpl w:val="37A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053A1"/>
    <w:multiLevelType w:val="multilevel"/>
    <w:tmpl w:val="15BA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239FB"/>
    <w:multiLevelType w:val="multilevel"/>
    <w:tmpl w:val="145C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B4E9F"/>
    <w:multiLevelType w:val="hybridMultilevel"/>
    <w:tmpl w:val="004EF4CE"/>
    <w:lvl w:ilvl="0" w:tplc="1658A0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4A"/>
    <w:rsid w:val="000452D2"/>
    <w:rsid w:val="000637FE"/>
    <w:rsid w:val="00083042"/>
    <w:rsid w:val="000A4CB4"/>
    <w:rsid w:val="000C0182"/>
    <w:rsid w:val="000F1BAE"/>
    <w:rsid w:val="000F6403"/>
    <w:rsid w:val="00124707"/>
    <w:rsid w:val="001344D2"/>
    <w:rsid w:val="00145646"/>
    <w:rsid w:val="00180B01"/>
    <w:rsid w:val="001B20EA"/>
    <w:rsid w:val="002074DC"/>
    <w:rsid w:val="00210916"/>
    <w:rsid w:val="00211024"/>
    <w:rsid w:val="0021103B"/>
    <w:rsid w:val="0024602B"/>
    <w:rsid w:val="0028436D"/>
    <w:rsid w:val="00285A5C"/>
    <w:rsid w:val="002C19D8"/>
    <w:rsid w:val="002E57F8"/>
    <w:rsid w:val="003014D3"/>
    <w:rsid w:val="003118E8"/>
    <w:rsid w:val="00324C26"/>
    <w:rsid w:val="00325336"/>
    <w:rsid w:val="00327002"/>
    <w:rsid w:val="00352209"/>
    <w:rsid w:val="0036511B"/>
    <w:rsid w:val="003C2979"/>
    <w:rsid w:val="003D2AD6"/>
    <w:rsid w:val="003D343C"/>
    <w:rsid w:val="004013BE"/>
    <w:rsid w:val="00407A22"/>
    <w:rsid w:val="004526DC"/>
    <w:rsid w:val="0046080B"/>
    <w:rsid w:val="00466446"/>
    <w:rsid w:val="004743BA"/>
    <w:rsid w:val="00474E45"/>
    <w:rsid w:val="00474EE6"/>
    <w:rsid w:val="00486E70"/>
    <w:rsid w:val="004B463A"/>
    <w:rsid w:val="004B494A"/>
    <w:rsid w:val="004C0A52"/>
    <w:rsid w:val="004C29DC"/>
    <w:rsid w:val="00537F94"/>
    <w:rsid w:val="005606D0"/>
    <w:rsid w:val="00563C3A"/>
    <w:rsid w:val="00572985"/>
    <w:rsid w:val="005824D0"/>
    <w:rsid w:val="005841FF"/>
    <w:rsid w:val="005A3C2C"/>
    <w:rsid w:val="005B5C9E"/>
    <w:rsid w:val="005C7796"/>
    <w:rsid w:val="005E00B1"/>
    <w:rsid w:val="005E4C17"/>
    <w:rsid w:val="006010C2"/>
    <w:rsid w:val="00607B5C"/>
    <w:rsid w:val="00607BCA"/>
    <w:rsid w:val="006166E8"/>
    <w:rsid w:val="00622DD4"/>
    <w:rsid w:val="006367E1"/>
    <w:rsid w:val="00656ECC"/>
    <w:rsid w:val="00671BAB"/>
    <w:rsid w:val="00686236"/>
    <w:rsid w:val="0068721F"/>
    <w:rsid w:val="00697AB0"/>
    <w:rsid w:val="006B564A"/>
    <w:rsid w:val="006C23C5"/>
    <w:rsid w:val="006E4A49"/>
    <w:rsid w:val="006E7029"/>
    <w:rsid w:val="006F7DF4"/>
    <w:rsid w:val="00711C6C"/>
    <w:rsid w:val="00751825"/>
    <w:rsid w:val="00752656"/>
    <w:rsid w:val="00756012"/>
    <w:rsid w:val="00785305"/>
    <w:rsid w:val="007A450B"/>
    <w:rsid w:val="007B39B6"/>
    <w:rsid w:val="007B6801"/>
    <w:rsid w:val="007E6EA8"/>
    <w:rsid w:val="007F268C"/>
    <w:rsid w:val="00802E01"/>
    <w:rsid w:val="00854352"/>
    <w:rsid w:val="00857AE0"/>
    <w:rsid w:val="008731FC"/>
    <w:rsid w:val="00873703"/>
    <w:rsid w:val="008801F6"/>
    <w:rsid w:val="00885A15"/>
    <w:rsid w:val="008A2D0D"/>
    <w:rsid w:val="008A5A86"/>
    <w:rsid w:val="008B59AF"/>
    <w:rsid w:val="008D4DAE"/>
    <w:rsid w:val="008D58D9"/>
    <w:rsid w:val="008F0B01"/>
    <w:rsid w:val="008F0EBE"/>
    <w:rsid w:val="008F2A3E"/>
    <w:rsid w:val="00904182"/>
    <w:rsid w:val="00921A5B"/>
    <w:rsid w:val="009258E9"/>
    <w:rsid w:val="00931E44"/>
    <w:rsid w:val="00946B20"/>
    <w:rsid w:val="009A2B83"/>
    <w:rsid w:val="009A31E1"/>
    <w:rsid w:val="009C62B5"/>
    <w:rsid w:val="009D1211"/>
    <w:rsid w:val="009D7DBD"/>
    <w:rsid w:val="009E6FB2"/>
    <w:rsid w:val="00A10EFD"/>
    <w:rsid w:val="00A63CC8"/>
    <w:rsid w:val="00A6640B"/>
    <w:rsid w:val="00A721D9"/>
    <w:rsid w:val="00AB10CE"/>
    <w:rsid w:val="00AC044C"/>
    <w:rsid w:val="00AC66F1"/>
    <w:rsid w:val="00B00356"/>
    <w:rsid w:val="00B043AB"/>
    <w:rsid w:val="00B06795"/>
    <w:rsid w:val="00B102D3"/>
    <w:rsid w:val="00B16B9F"/>
    <w:rsid w:val="00B26AC1"/>
    <w:rsid w:val="00B71BC9"/>
    <w:rsid w:val="00BB28BB"/>
    <w:rsid w:val="00C00AA6"/>
    <w:rsid w:val="00C113B7"/>
    <w:rsid w:val="00C347B5"/>
    <w:rsid w:val="00C3789D"/>
    <w:rsid w:val="00C51E9B"/>
    <w:rsid w:val="00C51FFE"/>
    <w:rsid w:val="00CC41FC"/>
    <w:rsid w:val="00CF51F2"/>
    <w:rsid w:val="00D10637"/>
    <w:rsid w:val="00D24925"/>
    <w:rsid w:val="00D30458"/>
    <w:rsid w:val="00D34721"/>
    <w:rsid w:val="00D35D74"/>
    <w:rsid w:val="00D64DBE"/>
    <w:rsid w:val="00D65B48"/>
    <w:rsid w:val="00D705C6"/>
    <w:rsid w:val="00DA3898"/>
    <w:rsid w:val="00DC1F6C"/>
    <w:rsid w:val="00DC6A52"/>
    <w:rsid w:val="00DC7445"/>
    <w:rsid w:val="00DD01B6"/>
    <w:rsid w:val="00DF36B4"/>
    <w:rsid w:val="00E124ED"/>
    <w:rsid w:val="00E15571"/>
    <w:rsid w:val="00E26BC2"/>
    <w:rsid w:val="00E37110"/>
    <w:rsid w:val="00E53ACD"/>
    <w:rsid w:val="00E57F92"/>
    <w:rsid w:val="00EB2B2C"/>
    <w:rsid w:val="00ED2BC9"/>
    <w:rsid w:val="00ED39A2"/>
    <w:rsid w:val="00EF3D82"/>
    <w:rsid w:val="00F07040"/>
    <w:rsid w:val="00F1445E"/>
    <w:rsid w:val="00F325FE"/>
    <w:rsid w:val="00F5351C"/>
    <w:rsid w:val="00F87980"/>
    <w:rsid w:val="00FB73D3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4643FB"/>
  <w15:chartTrackingRefBased/>
  <w15:docId w15:val="{78901CFC-DFB7-4C40-9414-D03AD4C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spacing w:val="-6"/>
      <w:sz w:val="28"/>
      <w:szCs w:val="28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color w:val="2B2B2B"/>
      <w:sz w:val="28"/>
      <w:szCs w:val="28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Times New Roman" w:hint="default"/>
      <w:sz w:val="28"/>
      <w:szCs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FontStyle36">
    <w:name w:val="Font Style36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3"/>
  </w:style>
  <w:style w:type="character" w:customStyle="1" w:styleId="a4">
    <w:name w:val="Нижні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ій колонтитул Знак"/>
    <w:rPr>
      <w:sz w:val="22"/>
      <w:szCs w:val="22"/>
      <w:lang w:val="uk-U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9">
    <w:name w:val="Абзац списку"/>
    <w:basedOn w:val="a"/>
    <w:pPr>
      <w:ind w:left="720"/>
    </w:pPr>
  </w:style>
  <w:style w:type="paragraph" w:customStyle="1" w:styleId="Style6">
    <w:name w:val="Style6"/>
    <w:basedOn w:val="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3">
    <w:name w:val="заголовок 1"/>
    <w:basedOn w:val="a"/>
    <w:next w:val="a"/>
    <w:pPr>
      <w:keepNext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pacing w:val="8"/>
      <w:sz w:val="28"/>
      <w:szCs w:val="28"/>
    </w:rPr>
  </w:style>
  <w:style w:type="paragraph" w:customStyle="1" w:styleId="aa">
    <w:name w:val="Звичайний (веб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u-RU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rvps14">
    <w:name w:val="rvps14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885A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 (Интернет)1"/>
    <w:basedOn w:val="a"/>
    <w:rsid w:val="00885A15"/>
    <w:pPr>
      <w:suppressAutoHyphens w:val="0"/>
      <w:spacing w:before="40" w:after="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0F640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F6403"/>
    <w:rPr>
      <w:rFonts w:ascii="Calibri" w:eastAsia="Calibri" w:hAnsi="Calibri"/>
      <w:sz w:val="22"/>
      <w:szCs w:val="22"/>
      <w:lang w:val="uk-UA" w:eastAsia="ar-SA"/>
    </w:rPr>
  </w:style>
  <w:style w:type="character" w:customStyle="1" w:styleId="ac">
    <w:name w:val="Нижний колонтитул Знак"/>
    <w:link w:val="ab"/>
    <w:uiPriority w:val="99"/>
    <w:rsid w:val="007F268C"/>
    <w:rPr>
      <w:sz w:val="28"/>
      <w:szCs w:val="28"/>
      <w:lang w:eastAsia="ar-SA"/>
    </w:rPr>
  </w:style>
  <w:style w:type="character" w:customStyle="1" w:styleId="ae">
    <w:name w:val="Верхний колонтитул Знак"/>
    <w:link w:val="ad"/>
    <w:uiPriority w:val="99"/>
    <w:rsid w:val="005841FF"/>
    <w:rPr>
      <w:rFonts w:ascii="Calibri" w:eastAsia="Calibri" w:hAnsi="Calibri"/>
      <w:sz w:val="22"/>
      <w:szCs w:val="22"/>
      <w:lang w:val="uk-UA" w:eastAsia="ar-SA"/>
    </w:rPr>
  </w:style>
  <w:style w:type="character" w:styleId="af2">
    <w:name w:val="page number"/>
    <w:basedOn w:val="a0"/>
    <w:rsid w:val="00F325FE"/>
  </w:style>
  <w:style w:type="character" w:styleId="af3">
    <w:name w:val="Hyperlink"/>
    <w:rsid w:val="009258E9"/>
    <w:rPr>
      <w:color w:val="0000FF"/>
      <w:u w:val="single"/>
    </w:rPr>
  </w:style>
  <w:style w:type="character" w:styleId="af4">
    <w:name w:val="Strong"/>
    <w:qFormat/>
    <w:rsid w:val="009E6FB2"/>
    <w:rPr>
      <w:b/>
      <w:bCs/>
    </w:rPr>
  </w:style>
  <w:style w:type="paragraph" w:styleId="af5">
    <w:name w:val="List Paragraph"/>
    <w:basedOn w:val="a"/>
    <w:uiPriority w:val="34"/>
    <w:qFormat/>
    <w:rsid w:val="00607BCA"/>
    <w:pPr>
      <w:ind w:left="708"/>
    </w:pPr>
  </w:style>
  <w:style w:type="paragraph" w:styleId="af6">
    <w:name w:val="Balloon Text"/>
    <w:basedOn w:val="a"/>
    <w:link w:val="af7"/>
    <w:uiPriority w:val="99"/>
    <w:semiHidden/>
    <w:unhideWhenUsed/>
    <w:rsid w:val="00A63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A63CC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7DA4-AC06-4211-9ADB-44100CD4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</vt:lpstr>
    </vt:vector>
  </TitlesOfParts>
  <Company>Microsoft</Company>
  <LinksUpToDate>false</LinksUpToDate>
  <CharactersWithSpaces>6280</CharactersWithSpaces>
  <SharedDoc>false</SharedDoc>
  <HLinks>
    <vt:vector size="6" baseType="variant"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https://zakon.rada.gov.ua/laws/show/863-2016-%D0%BF</vt:lpwstr>
      </vt:variant>
      <vt:variant>
        <vt:lpwstr>n18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subject/>
  <dc:creator>X-Book</dc:creator>
  <cp:keywords/>
  <dc:description/>
  <cp:lastModifiedBy>AdminPC</cp:lastModifiedBy>
  <cp:revision>2</cp:revision>
  <cp:lastPrinted>2021-09-28T09:59:00Z</cp:lastPrinted>
  <dcterms:created xsi:type="dcterms:W3CDTF">2021-09-28T16:05:00Z</dcterms:created>
  <dcterms:modified xsi:type="dcterms:W3CDTF">2021-09-28T16:05:00Z</dcterms:modified>
</cp:coreProperties>
</file>