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38" w:rsidRPr="00412EE2" w:rsidRDefault="009B4E38" w:rsidP="00412EE2">
      <w:pPr>
        <w:pStyle w:val="a5"/>
        <w:ind w:firstLine="7088"/>
        <w:rPr>
          <w:rFonts w:ascii="Times New Roman" w:hAnsi="Times New Roman" w:cs="Times New Roman"/>
          <w:b/>
          <w:sz w:val="24"/>
          <w:szCs w:val="24"/>
        </w:rPr>
      </w:pPr>
      <w:r w:rsidRPr="00412E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ЗАТВЕРДЖЕНО                                                           </w:t>
      </w:r>
    </w:p>
    <w:p w:rsidR="009B4E38" w:rsidRPr="00412EE2" w:rsidRDefault="009B4E38" w:rsidP="00412EE2">
      <w:pPr>
        <w:pStyle w:val="a5"/>
        <w:ind w:firstLine="708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Рішенням сесії                                                               </w:t>
      </w:r>
    </w:p>
    <w:p w:rsidR="009B4E38" w:rsidRPr="00412EE2" w:rsidRDefault="009B4E38" w:rsidP="00412EE2">
      <w:pPr>
        <w:pStyle w:val="a5"/>
        <w:ind w:firstLine="708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Калинівської                                                              </w:t>
      </w:r>
    </w:p>
    <w:p w:rsidR="009B4E38" w:rsidRPr="00412EE2" w:rsidRDefault="00412EE2" w:rsidP="00412EE2">
      <w:pPr>
        <w:pStyle w:val="a5"/>
        <w:ind w:firstLine="708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9B4E38" w:rsidRPr="00412E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елищної  ради                                                              </w:t>
      </w:r>
    </w:p>
    <w:p w:rsidR="009B4E38" w:rsidRPr="00412EE2" w:rsidRDefault="009B4E38" w:rsidP="009B4E38">
      <w:pPr>
        <w:spacing w:before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A5AD0" w:rsidRPr="00412EE2" w:rsidRDefault="00DA5AD0" w:rsidP="009B4E38">
      <w:pPr>
        <w:spacing w:before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A5AD0" w:rsidRPr="00412EE2" w:rsidRDefault="00DA5AD0" w:rsidP="009B4E38">
      <w:pPr>
        <w:spacing w:before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B4E38" w:rsidRPr="00412EE2" w:rsidRDefault="009B4E38" w:rsidP="009B4E38">
      <w:pPr>
        <w:spacing w:before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B4E38" w:rsidRPr="00412EE2" w:rsidRDefault="00DA5AD0" w:rsidP="00DA5AD0">
      <w:pPr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</w:t>
      </w:r>
      <w:r w:rsidR="00412EE2" w:rsidRPr="00412EE2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:rsidR="00DA5AD0" w:rsidRPr="00412EE2" w:rsidRDefault="00412EE2" w:rsidP="00DA5AD0">
      <w:pPr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r w:rsidR="00DA5AD0" w:rsidRPr="00412EE2">
        <w:rPr>
          <w:rFonts w:ascii="Times New Roman" w:hAnsi="Times New Roman" w:cs="Times New Roman"/>
          <w:b/>
          <w:bCs/>
          <w:sz w:val="24"/>
          <w:szCs w:val="24"/>
          <w:lang w:val="uk-UA"/>
        </w:rPr>
        <w:t>озвитку системи освіти</w:t>
      </w:r>
      <w:r w:rsidR="00237E96" w:rsidRPr="00412EE2"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</w:p>
    <w:p w:rsidR="00237E96" w:rsidRPr="00412EE2" w:rsidRDefault="00237E96" w:rsidP="00DA5AD0">
      <w:pPr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молоді та спорту</w:t>
      </w:r>
    </w:p>
    <w:p w:rsidR="00DA5AD0" w:rsidRPr="00412EE2" w:rsidRDefault="00DA5AD0" w:rsidP="00DA5AD0">
      <w:pPr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Калинівської селищної ради</w:t>
      </w:r>
    </w:p>
    <w:p w:rsidR="00DA5AD0" w:rsidRPr="00412EE2" w:rsidRDefault="00DA5AD0" w:rsidP="00DA5AD0">
      <w:pPr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b/>
          <w:bCs/>
          <w:sz w:val="24"/>
          <w:szCs w:val="24"/>
          <w:lang w:val="uk-UA"/>
        </w:rPr>
        <w:t>Фастівського району</w:t>
      </w:r>
    </w:p>
    <w:p w:rsidR="00DA5AD0" w:rsidRPr="00412EE2" w:rsidRDefault="00DA5AD0" w:rsidP="00DA5AD0">
      <w:pPr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b/>
          <w:bCs/>
          <w:sz w:val="24"/>
          <w:szCs w:val="24"/>
          <w:lang w:val="uk-UA"/>
        </w:rPr>
        <w:t>Київської області</w:t>
      </w:r>
    </w:p>
    <w:p w:rsidR="00DA5AD0" w:rsidRPr="00412EE2" w:rsidRDefault="00DA5AD0" w:rsidP="00DA5AD0">
      <w:pPr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B4E38" w:rsidRPr="00412EE2" w:rsidRDefault="009B4E38" w:rsidP="009B4E38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38" w:rsidRPr="00412EE2" w:rsidRDefault="009B4E38" w:rsidP="009B4E38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38" w:rsidRPr="00412EE2" w:rsidRDefault="009B4E38" w:rsidP="009B4E38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38" w:rsidRPr="00412EE2" w:rsidRDefault="009B4E38" w:rsidP="009B4E38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38" w:rsidRPr="00412EE2" w:rsidRDefault="009B4E38" w:rsidP="009B4E38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38" w:rsidRPr="00412EE2" w:rsidRDefault="009B4E38" w:rsidP="009B4E38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38" w:rsidRPr="00412EE2" w:rsidRDefault="009B4E38" w:rsidP="009B4E38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38" w:rsidRDefault="009B4E38" w:rsidP="009B4E38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2EE2" w:rsidRDefault="00412EE2" w:rsidP="009B4E38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2EE2" w:rsidRPr="00412EE2" w:rsidRDefault="00412EE2" w:rsidP="009B4E38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B4E38" w:rsidRPr="00412EE2" w:rsidRDefault="009B4E38" w:rsidP="009B4E38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A5AD0" w:rsidRDefault="00412EE2" w:rsidP="00DA5AD0">
      <w:pPr>
        <w:spacing w:line="360" w:lineRule="auto"/>
        <w:ind w:right="2262" w:firstLine="113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смт</w:t>
      </w:r>
      <w:proofErr w:type="spellEnd"/>
      <w:r w:rsidR="00DA5AD0" w:rsidRPr="00412E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B4E38" w:rsidRPr="00412EE2">
        <w:rPr>
          <w:rFonts w:ascii="Times New Roman" w:hAnsi="Times New Roman" w:cs="Times New Roman"/>
          <w:b/>
          <w:sz w:val="24"/>
          <w:szCs w:val="24"/>
        </w:rPr>
        <w:t>Калинівка</w:t>
      </w:r>
      <w:proofErr w:type="spellEnd"/>
      <w:r w:rsidR="009B4E38" w:rsidRPr="00412E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EE2" w:rsidRPr="00412EE2" w:rsidRDefault="00412EE2" w:rsidP="00412EE2">
      <w:pPr>
        <w:spacing w:line="360" w:lineRule="auto"/>
        <w:ind w:right="226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3414D" w:rsidRPr="00412EE2" w:rsidRDefault="00C3414D" w:rsidP="000E189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sz w:val="24"/>
          <w:szCs w:val="24"/>
          <w:lang w:val="uk-UA"/>
        </w:rPr>
        <w:lastRenderedPageBreak/>
        <w:t>ЗМІСТ</w:t>
      </w:r>
    </w:p>
    <w:p w:rsidR="00C3414D" w:rsidRPr="00412EE2" w:rsidRDefault="00412EE2" w:rsidP="000E18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51B0" w:rsidRPr="00412EE2" w:rsidRDefault="00C3414D" w:rsidP="000E18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  <w:r w:rsidRPr="00412EE2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412EE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41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EE2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1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EE2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41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EE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412EE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379C5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молоді та спорту</w:t>
      </w:r>
      <w:r w:rsidRPr="00412EE2">
        <w:rPr>
          <w:rFonts w:ascii="Times New Roman" w:hAnsi="Times New Roman" w:cs="Times New Roman"/>
          <w:sz w:val="24"/>
          <w:szCs w:val="24"/>
        </w:rPr>
        <w:t xml:space="preserve"> </w:t>
      </w:r>
      <w:r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Калинівської селищної ради </w:t>
      </w:r>
      <w:r w:rsidR="00CA4ADE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Фастівського</w:t>
      </w:r>
      <w:r w:rsidRPr="00412EE2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412EE2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41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EE2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412EE2">
        <w:rPr>
          <w:rFonts w:ascii="Times New Roman" w:hAnsi="Times New Roman" w:cs="Times New Roman"/>
          <w:sz w:val="24"/>
          <w:szCs w:val="24"/>
        </w:rPr>
        <w:t xml:space="preserve"> на 20</w:t>
      </w:r>
      <w:r w:rsidRPr="00412EE2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412EE2">
        <w:rPr>
          <w:rFonts w:ascii="Times New Roman" w:hAnsi="Times New Roman" w:cs="Times New Roman"/>
          <w:sz w:val="24"/>
          <w:szCs w:val="24"/>
        </w:rPr>
        <w:t>-202</w:t>
      </w:r>
      <w:r w:rsidR="003E3196" w:rsidRPr="00412E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A5AD0" w:rsidRPr="00412EE2">
        <w:rPr>
          <w:rFonts w:ascii="Times New Roman" w:hAnsi="Times New Roman" w:cs="Times New Roman"/>
          <w:sz w:val="24"/>
          <w:szCs w:val="24"/>
        </w:rPr>
        <w:t xml:space="preserve"> роки</w:t>
      </w:r>
    </w:p>
    <w:p w:rsidR="00C3414D" w:rsidRPr="00412EE2" w:rsidRDefault="00C3414D" w:rsidP="000E18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ІІ. </w:t>
      </w:r>
      <w:proofErr w:type="spellStart"/>
      <w:proofErr w:type="gramStart"/>
      <w:r w:rsidRPr="00412EE2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proofErr w:type="gramEnd"/>
    </w:p>
    <w:p w:rsidR="00C3414D" w:rsidRPr="00412EE2" w:rsidRDefault="00C3414D" w:rsidP="000E18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ІІІ. </w:t>
      </w:r>
      <w:r w:rsidR="008B51B0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Мета </w:t>
      </w:r>
      <w:r w:rsidR="00F9654F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51B0" w:rsidRPr="00412EE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</w:p>
    <w:p w:rsidR="00C3414D" w:rsidRPr="00412EE2" w:rsidRDefault="00C3414D" w:rsidP="000E18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E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12EE2">
        <w:rPr>
          <w:rFonts w:ascii="Times New Roman" w:hAnsi="Times New Roman" w:cs="Times New Roman"/>
          <w:sz w:val="24"/>
          <w:szCs w:val="24"/>
        </w:rPr>
        <w:t>.</w:t>
      </w:r>
      <w:r w:rsidR="00F9654F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8B51B0" w:rsidRPr="00412EE2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54F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2EE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proofErr w:type="gramEnd"/>
    </w:p>
    <w:p w:rsidR="00C3414D" w:rsidRPr="00412EE2" w:rsidRDefault="00C3414D" w:rsidP="000E18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12EE2">
        <w:rPr>
          <w:rFonts w:ascii="Times New Roman" w:hAnsi="Times New Roman" w:cs="Times New Roman"/>
          <w:sz w:val="24"/>
          <w:szCs w:val="24"/>
        </w:rPr>
        <w:t>.</w:t>
      </w:r>
      <w:r w:rsidR="00F9654F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8B51B0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Очікуванні </w:t>
      </w:r>
      <w:r w:rsidR="00F9654F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51B0" w:rsidRPr="00412EE2">
        <w:rPr>
          <w:rFonts w:ascii="Times New Roman" w:hAnsi="Times New Roman" w:cs="Times New Roman"/>
          <w:sz w:val="24"/>
          <w:szCs w:val="24"/>
          <w:lang w:val="uk-UA"/>
        </w:rPr>
        <w:t>результати</w:t>
      </w:r>
      <w:proofErr w:type="gramEnd"/>
      <w:r w:rsidR="008B51B0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54F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51B0" w:rsidRPr="00412EE2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</w:p>
    <w:p w:rsidR="00C3414D" w:rsidRPr="00412EE2" w:rsidRDefault="00C3414D" w:rsidP="000E18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EE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12EE2">
        <w:rPr>
          <w:rFonts w:ascii="Times New Roman" w:hAnsi="Times New Roman" w:cs="Times New Roman"/>
          <w:sz w:val="24"/>
          <w:szCs w:val="24"/>
        </w:rPr>
        <w:t>.</w:t>
      </w:r>
      <w:r w:rsidR="00F9654F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8B51B0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Джерела </w:t>
      </w:r>
      <w:r w:rsidR="00F9654F" w:rsidRPr="00412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51B0" w:rsidRPr="00412EE2">
        <w:rPr>
          <w:rFonts w:ascii="Times New Roman" w:hAnsi="Times New Roman" w:cs="Times New Roman"/>
          <w:sz w:val="24"/>
          <w:szCs w:val="24"/>
          <w:lang w:val="uk-UA"/>
        </w:rPr>
        <w:t>фінансування</w:t>
      </w:r>
      <w:proofErr w:type="gramEnd"/>
    </w:p>
    <w:p w:rsidR="00CA4ADE" w:rsidRPr="00412EE2" w:rsidRDefault="00CA4ADE" w:rsidP="000E189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4ADE" w:rsidRPr="00412EE2" w:rsidRDefault="00CA4ADE" w:rsidP="00C3414D">
      <w:pPr>
        <w:pStyle w:val="a3"/>
        <w:shd w:val="clear" w:color="auto" w:fill="FFFFFF"/>
        <w:jc w:val="both"/>
      </w:pPr>
    </w:p>
    <w:p w:rsidR="00CA4ADE" w:rsidRPr="00412EE2" w:rsidRDefault="00CA4ADE" w:rsidP="00C3414D">
      <w:pPr>
        <w:pStyle w:val="a3"/>
        <w:shd w:val="clear" w:color="auto" w:fill="FFFFFF"/>
        <w:jc w:val="both"/>
      </w:pPr>
    </w:p>
    <w:p w:rsidR="00CA4ADE" w:rsidRPr="00412EE2" w:rsidRDefault="00CA4ADE" w:rsidP="00C3414D">
      <w:pPr>
        <w:pStyle w:val="a3"/>
        <w:shd w:val="clear" w:color="auto" w:fill="FFFFFF"/>
        <w:jc w:val="both"/>
      </w:pPr>
    </w:p>
    <w:p w:rsidR="00CA4ADE" w:rsidRPr="00412EE2" w:rsidRDefault="00CA4ADE" w:rsidP="00C3414D">
      <w:pPr>
        <w:pStyle w:val="a3"/>
        <w:shd w:val="clear" w:color="auto" w:fill="FFFFFF"/>
        <w:jc w:val="both"/>
      </w:pPr>
    </w:p>
    <w:p w:rsidR="00CA4ADE" w:rsidRPr="00412EE2" w:rsidRDefault="00CA4ADE" w:rsidP="00C3414D">
      <w:pPr>
        <w:pStyle w:val="a3"/>
        <w:shd w:val="clear" w:color="auto" w:fill="FFFFFF"/>
        <w:jc w:val="both"/>
      </w:pPr>
    </w:p>
    <w:p w:rsidR="00DA5AD0" w:rsidRPr="00412EE2" w:rsidRDefault="00DA5AD0" w:rsidP="00C3414D">
      <w:pPr>
        <w:pStyle w:val="a3"/>
        <w:shd w:val="clear" w:color="auto" w:fill="FFFFFF"/>
        <w:jc w:val="both"/>
      </w:pPr>
    </w:p>
    <w:p w:rsidR="00CA4ADE" w:rsidRPr="00412EE2" w:rsidRDefault="00CA4ADE" w:rsidP="00C3414D">
      <w:pPr>
        <w:pStyle w:val="a3"/>
        <w:shd w:val="clear" w:color="auto" w:fill="FFFFFF"/>
        <w:jc w:val="both"/>
        <w:rPr>
          <w:color w:val="595959"/>
          <w:lang w:val="uk-UA"/>
        </w:rPr>
      </w:pPr>
    </w:p>
    <w:p w:rsidR="00F9654F" w:rsidRPr="00412EE2" w:rsidRDefault="00F9654F" w:rsidP="00C3414D">
      <w:pPr>
        <w:pStyle w:val="a3"/>
        <w:shd w:val="clear" w:color="auto" w:fill="FFFFFF"/>
        <w:jc w:val="both"/>
        <w:rPr>
          <w:color w:val="595959"/>
          <w:lang w:val="uk-UA"/>
        </w:rPr>
      </w:pPr>
    </w:p>
    <w:p w:rsidR="00F9654F" w:rsidRPr="00412EE2" w:rsidRDefault="00F9654F" w:rsidP="00C3414D">
      <w:pPr>
        <w:pStyle w:val="a3"/>
        <w:shd w:val="clear" w:color="auto" w:fill="FFFFFF"/>
        <w:jc w:val="both"/>
        <w:rPr>
          <w:color w:val="595959"/>
          <w:lang w:val="uk-UA"/>
        </w:rPr>
      </w:pPr>
    </w:p>
    <w:p w:rsidR="00F9654F" w:rsidRPr="00412EE2" w:rsidRDefault="00F9654F" w:rsidP="00C3414D">
      <w:pPr>
        <w:pStyle w:val="a3"/>
        <w:shd w:val="clear" w:color="auto" w:fill="FFFFFF"/>
        <w:jc w:val="both"/>
        <w:rPr>
          <w:color w:val="595959"/>
          <w:lang w:val="uk-UA"/>
        </w:rPr>
      </w:pPr>
    </w:p>
    <w:p w:rsidR="00F9654F" w:rsidRDefault="00F9654F" w:rsidP="00C3414D">
      <w:pPr>
        <w:pStyle w:val="a3"/>
        <w:shd w:val="clear" w:color="auto" w:fill="FFFFFF"/>
        <w:jc w:val="both"/>
        <w:rPr>
          <w:color w:val="595959"/>
          <w:lang w:val="uk-UA"/>
        </w:rPr>
      </w:pPr>
    </w:p>
    <w:p w:rsidR="00412EE2" w:rsidRDefault="00412EE2" w:rsidP="00C3414D">
      <w:pPr>
        <w:pStyle w:val="a3"/>
        <w:shd w:val="clear" w:color="auto" w:fill="FFFFFF"/>
        <w:jc w:val="both"/>
        <w:rPr>
          <w:color w:val="595959"/>
          <w:lang w:val="uk-UA"/>
        </w:rPr>
      </w:pPr>
    </w:p>
    <w:p w:rsidR="00412EE2" w:rsidRDefault="00412EE2" w:rsidP="00C3414D">
      <w:pPr>
        <w:pStyle w:val="a3"/>
        <w:shd w:val="clear" w:color="auto" w:fill="FFFFFF"/>
        <w:jc w:val="both"/>
        <w:rPr>
          <w:color w:val="595959"/>
          <w:lang w:val="uk-UA"/>
        </w:rPr>
      </w:pPr>
    </w:p>
    <w:p w:rsidR="00412EE2" w:rsidRDefault="00412EE2" w:rsidP="00C3414D">
      <w:pPr>
        <w:pStyle w:val="a3"/>
        <w:shd w:val="clear" w:color="auto" w:fill="FFFFFF"/>
        <w:jc w:val="both"/>
        <w:rPr>
          <w:color w:val="595959"/>
          <w:lang w:val="uk-UA"/>
        </w:rPr>
      </w:pPr>
    </w:p>
    <w:p w:rsidR="00412EE2" w:rsidRDefault="00412EE2" w:rsidP="00C3414D">
      <w:pPr>
        <w:pStyle w:val="a3"/>
        <w:shd w:val="clear" w:color="auto" w:fill="FFFFFF"/>
        <w:jc w:val="both"/>
        <w:rPr>
          <w:color w:val="595959"/>
          <w:lang w:val="uk-UA"/>
        </w:rPr>
      </w:pPr>
    </w:p>
    <w:p w:rsidR="00412EE2" w:rsidRPr="00412EE2" w:rsidRDefault="00412EE2" w:rsidP="00C3414D">
      <w:pPr>
        <w:pStyle w:val="a3"/>
        <w:shd w:val="clear" w:color="auto" w:fill="FFFFFF"/>
        <w:jc w:val="both"/>
        <w:rPr>
          <w:color w:val="595959"/>
          <w:lang w:val="uk-UA"/>
        </w:rPr>
      </w:pPr>
    </w:p>
    <w:p w:rsidR="008B51B0" w:rsidRPr="00412EE2" w:rsidRDefault="008B51B0" w:rsidP="00CA4ADE">
      <w:pPr>
        <w:pStyle w:val="a3"/>
        <w:shd w:val="clear" w:color="auto" w:fill="FFFFFF"/>
        <w:ind w:firstLine="708"/>
        <w:jc w:val="center"/>
        <w:rPr>
          <w:b/>
          <w:lang w:val="uk-UA"/>
        </w:rPr>
      </w:pPr>
      <w:r w:rsidRPr="00412EE2">
        <w:rPr>
          <w:b/>
          <w:lang w:val="uk-UA"/>
        </w:rPr>
        <w:lastRenderedPageBreak/>
        <w:t>І ПАСПОРТ</w:t>
      </w:r>
    </w:p>
    <w:tbl>
      <w:tblPr>
        <w:tblW w:w="10890" w:type="dxa"/>
        <w:tblInd w:w="-11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8483"/>
      </w:tblGrid>
      <w:tr w:rsidR="00E91596" w:rsidRPr="00412EE2" w:rsidTr="006F16E7">
        <w:trPr>
          <w:trHeight w:hRule="exact" w:val="110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Ініціатор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spacing w:line="317" w:lineRule="exact"/>
              <w:ind w:left="103" w:right="19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Калинівська селищна рада</w:t>
            </w:r>
          </w:p>
          <w:p w:rsidR="00E91596" w:rsidRPr="00412EE2" w:rsidRDefault="00E91596" w:rsidP="00CA7A44">
            <w:pPr>
              <w:pStyle w:val="TableParagraph"/>
              <w:spacing w:line="317" w:lineRule="exact"/>
              <w:ind w:left="103" w:right="19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596" w:rsidRPr="00412EE2" w:rsidTr="006F16E7">
        <w:trPr>
          <w:trHeight w:hRule="exact" w:val="116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tabs>
                <w:tab w:val="left" w:pos="11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Розро</w:t>
            </w: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бник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ind w:left="103" w:right="19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Калинівська селищна рада</w:t>
            </w:r>
          </w:p>
          <w:p w:rsidR="00E91596" w:rsidRPr="00412EE2" w:rsidRDefault="00E91596" w:rsidP="00CA7A44">
            <w:pPr>
              <w:pStyle w:val="TableParagraph"/>
              <w:ind w:left="103" w:right="19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1596" w:rsidRPr="00412EE2" w:rsidTr="006F16E7">
        <w:trPr>
          <w:trHeight w:hRule="exact" w:val="134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tabs>
                <w:tab w:val="left" w:pos="1135"/>
              </w:tabs>
              <w:ind w:right="5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Відпо</w:t>
            </w:r>
            <w:r w:rsidRPr="00412EE2">
              <w:rPr>
                <w:rFonts w:ascii="Times New Roman" w:hAnsi="Times New Roman"/>
                <w:sz w:val="24"/>
                <w:szCs w:val="24"/>
              </w:rPr>
              <w:t>відальний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9B4E38" w:rsidP="00CA7A44">
            <w:pPr>
              <w:pStyle w:val="TableParagraph"/>
              <w:ind w:left="103" w:right="1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Калинівського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голови з гуманітарних питань</w:t>
            </w:r>
          </w:p>
        </w:tc>
      </w:tr>
      <w:tr w:rsidR="00E91596" w:rsidRPr="00412EE2" w:rsidTr="006F16E7">
        <w:trPr>
          <w:trHeight w:hRule="exact" w:val="127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tabs>
                <w:tab w:val="left" w:pos="1135"/>
                <w:tab w:val="left" w:pos="15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ind w:left="103"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Відділ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50A41" w:rsidRPr="00412EE2">
              <w:rPr>
                <w:rFonts w:ascii="Times New Roman" w:hAnsi="Times New Roman"/>
                <w:sz w:val="24"/>
                <w:szCs w:val="24"/>
                <w:lang w:val="uk-UA"/>
              </w:rPr>
              <w:t>молоді та спорту</w:t>
            </w:r>
            <w:r w:rsidRPr="0041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Калинівської селищної ради</w:t>
            </w:r>
            <w:r w:rsidRPr="00412E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</w:rPr>
              <w:t>,</w:t>
            </w: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заклади дошкільної освіти, заклади позашкільної освіти</w:t>
            </w:r>
          </w:p>
        </w:tc>
      </w:tr>
      <w:tr w:rsidR="00E91596" w:rsidRPr="00412EE2" w:rsidTr="006F16E7">
        <w:trPr>
          <w:trHeight w:hRule="exact" w:val="94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tabs>
                <w:tab w:val="left" w:pos="1135"/>
              </w:tabs>
              <w:ind w:right="48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spacing w:line="315" w:lineRule="exact"/>
              <w:ind w:left="103" w:right="19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1596" w:rsidRPr="00412EE2" w:rsidRDefault="00E91596" w:rsidP="00CA7A44">
            <w:pPr>
              <w:pStyle w:val="TableParagraph"/>
              <w:spacing w:line="315" w:lineRule="exact"/>
              <w:ind w:left="103" w:right="19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</w:rPr>
              <w:t>20</w:t>
            </w: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412EE2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25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включно</w:t>
            </w:r>
          </w:p>
        </w:tc>
      </w:tr>
      <w:tr w:rsidR="00E91596" w:rsidRPr="00412EE2" w:rsidTr="006F16E7">
        <w:trPr>
          <w:trHeight w:hRule="exact" w:val="4183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tabs>
                <w:tab w:val="left" w:pos="1135"/>
              </w:tabs>
              <w:ind w:right="3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Перелік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розділі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як</w:t>
            </w:r>
            <w:proofErr w:type="gram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реалізовано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межах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цієї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317" w:lineRule="exact"/>
              <w:ind w:hanging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Дошкільна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</w:p>
          <w:p w:rsidR="00E91596" w:rsidRPr="00412EE2" w:rsidRDefault="00E91596" w:rsidP="00CA7A44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322" w:lineRule="exact"/>
              <w:ind w:hanging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Загальна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середня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</w:p>
          <w:p w:rsidR="00E91596" w:rsidRPr="00412EE2" w:rsidRDefault="00E91596" w:rsidP="00CA7A44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22" w:lineRule="exact"/>
              <w:ind w:hanging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Соціальний захист дітей та навчання дітей з особливими освітніми потребами</w:t>
            </w:r>
          </w:p>
          <w:p w:rsidR="00E91596" w:rsidRPr="00412EE2" w:rsidRDefault="00E91596" w:rsidP="00CA7A44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22" w:lineRule="exact"/>
              <w:ind w:hanging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Обдаровані </w:t>
            </w:r>
            <w:r w:rsidRPr="00412E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діти</w:t>
            </w:r>
            <w:r w:rsidRPr="00412E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E91596" w:rsidRPr="00412EE2" w:rsidRDefault="00E91596" w:rsidP="00CA7A44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22" w:lineRule="exact"/>
              <w:ind w:hanging="28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Позашкільна освіта</w:t>
            </w:r>
            <w:r w:rsidR="00550A41" w:rsidRPr="00412EE2">
              <w:rPr>
                <w:rFonts w:ascii="Times New Roman" w:hAnsi="Times New Roman"/>
                <w:sz w:val="24"/>
                <w:szCs w:val="24"/>
                <w:lang w:val="uk-UA"/>
              </w:rPr>
              <w:t>, розвиток молоді та сорту</w:t>
            </w:r>
          </w:p>
          <w:p w:rsidR="00E91596" w:rsidRPr="00412EE2" w:rsidRDefault="00E91596" w:rsidP="00CA7A44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22" w:lineRule="exact"/>
              <w:ind w:hanging="28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Розвиток професійної компетентності педагога в системі неперервної освіти. Інновації в сучасній освіті.</w:t>
            </w:r>
          </w:p>
          <w:p w:rsidR="00E91596" w:rsidRPr="00412EE2" w:rsidRDefault="00E91596" w:rsidP="00CA7A44">
            <w:pPr>
              <w:pStyle w:val="TableParagraph"/>
              <w:numPr>
                <w:ilvl w:val="0"/>
                <w:numId w:val="3"/>
              </w:numPr>
              <w:tabs>
                <w:tab w:val="left" w:pos="385"/>
              </w:tabs>
              <w:spacing w:line="322" w:lineRule="exact"/>
              <w:ind w:hanging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Кадрове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забезпечення</w:t>
            </w:r>
            <w:proofErr w:type="spellEnd"/>
          </w:p>
          <w:p w:rsidR="00E91596" w:rsidRPr="00412EE2" w:rsidRDefault="00E91596" w:rsidP="00CA7A44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hanging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Матеріально-технічне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</w:p>
          <w:p w:rsidR="00E91596" w:rsidRPr="00412EE2" w:rsidRDefault="00E91596" w:rsidP="00CA7A44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hanging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умов для рівних можливостей та доступу до якісної освіти </w:t>
            </w:r>
            <w:r w:rsidRPr="00412E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дітей з особливими освітніми потребами (ІРЦ)</w:t>
            </w:r>
          </w:p>
          <w:p w:rsidR="00E91596" w:rsidRPr="00412EE2" w:rsidRDefault="00E91596" w:rsidP="00CA7A44">
            <w:pPr>
              <w:pStyle w:val="TableParagraph"/>
              <w:tabs>
                <w:tab w:val="left" w:pos="38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1596" w:rsidRPr="00412EE2" w:rsidRDefault="00E91596" w:rsidP="00CA7A44">
            <w:pPr>
              <w:pStyle w:val="TableParagraph"/>
              <w:tabs>
                <w:tab w:val="left" w:pos="38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1596" w:rsidRPr="00412EE2" w:rsidRDefault="00E91596" w:rsidP="00CA7A44">
            <w:pPr>
              <w:pStyle w:val="TableParagraph"/>
              <w:tabs>
                <w:tab w:val="left" w:pos="38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1596" w:rsidRPr="00412EE2" w:rsidRDefault="00E91596" w:rsidP="00CA7A44">
            <w:pPr>
              <w:pStyle w:val="TableParagraph"/>
              <w:tabs>
                <w:tab w:val="left" w:pos="38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A5AD0" w:rsidRPr="00412EE2" w:rsidRDefault="00DA5AD0">
      <w:pPr>
        <w:rPr>
          <w:sz w:val="24"/>
          <w:szCs w:val="24"/>
        </w:rPr>
      </w:pPr>
    </w:p>
    <w:p w:rsidR="00DA5AD0" w:rsidRPr="00412EE2" w:rsidRDefault="00DA5AD0">
      <w:pPr>
        <w:rPr>
          <w:sz w:val="24"/>
          <w:szCs w:val="24"/>
        </w:rPr>
      </w:pPr>
    </w:p>
    <w:p w:rsidR="00DA5AD0" w:rsidRPr="00412EE2" w:rsidRDefault="00DA5AD0">
      <w:pPr>
        <w:rPr>
          <w:sz w:val="24"/>
          <w:szCs w:val="24"/>
        </w:rPr>
      </w:pPr>
    </w:p>
    <w:p w:rsidR="00DA5AD0" w:rsidRPr="00412EE2" w:rsidRDefault="00DA5AD0">
      <w:pPr>
        <w:rPr>
          <w:sz w:val="24"/>
          <w:szCs w:val="24"/>
        </w:rPr>
      </w:pPr>
    </w:p>
    <w:tbl>
      <w:tblPr>
        <w:tblW w:w="10890" w:type="dxa"/>
        <w:tblInd w:w="-11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1562"/>
        <w:gridCol w:w="1560"/>
        <w:gridCol w:w="1514"/>
        <w:gridCol w:w="1888"/>
        <w:gridCol w:w="1959"/>
      </w:tblGrid>
      <w:tr w:rsidR="00E91596" w:rsidRPr="00412EE2" w:rsidTr="006F16E7">
        <w:trPr>
          <w:trHeight w:val="1204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tabs>
                <w:tab w:val="left" w:pos="1135"/>
              </w:tabs>
              <w:ind w:righ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Загальний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обсяг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фінансових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ресурсів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необхідних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Програми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 тому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числі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84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spacing w:line="315" w:lineRule="exact"/>
              <w:ind w:left="103" w:right="19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91596" w:rsidRPr="00412EE2" w:rsidRDefault="00E91596" w:rsidP="00CA7A44">
            <w:pPr>
              <w:pStyle w:val="TableParagraph"/>
              <w:spacing w:line="315" w:lineRule="exact"/>
              <w:ind w:left="103" w:right="19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</w:rPr>
              <w:t>2021-20</w:t>
            </w:r>
            <w:r w:rsidR="00021F62" w:rsidRPr="00412EE2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412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</w:rPr>
              <w:t>роки</w:t>
            </w:r>
            <w:proofErr w:type="spellEnd"/>
          </w:p>
          <w:p w:rsidR="00E91596" w:rsidRPr="00412EE2" w:rsidRDefault="00E91596" w:rsidP="00CA7A44">
            <w:pPr>
              <w:pStyle w:val="TableParagraph"/>
              <w:spacing w:line="315" w:lineRule="exact"/>
              <w:ind w:left="103" w:right="19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596" w:rsidRPr="00412EE2" w:rsidTr="00021F62">
        <w:trPr>
          <w:cantSplit/>
          <w:trHeight w:val="1204"/>
        </w:trPr>
        <w:tc>
          <w:tcPr>
            <w:tcW w:w="24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E91596" w:rsidP="00021F6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2021 р</w:t>
            </w:r>
          </w:p>
          <w:p w:rsidR="00E91596" w:rsidRPr="00412EE2" w:rsidRDefault="00E91596" w:rsidP="00021F62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12EE2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spellEnd"/>
            <w:proofErr w:type="gramEnd"/>
            <w:r w:rsidRPr="00412E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12EE2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proofErr w:type="gramEnd"/>
            <w:r w:rsidRPr="00412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E91596" w:rsidP="00021F62">
            <w:pPr>
              <w:pStyle w:val="TableParagraph"/>
              <w:ind w:right="33" w:firstLine="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  <w:p w:rsidR="00E91596" w:rsidRPr="00412EE2" w:rsidRDefault="00E91596" w:rsidP="00021F62">
            <w:pPr>
              <w:pStyle w:val="TableParagraph"/>
              <w:ind w:right="33" w:firstLine="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тис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рн.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596" w:rsidRPr="00412EE2" w:rsidRDefault="00E91596" w:rsidP="00021F62">
            <w:pPr>
              <w:pStyle w:val="TableParagraph"/>
              <w:ind w:right="21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  <w:p w:rsidR="00E91596" w:rsidRPr="00412EE2" w:rsidRDefault="00E91596" w:rsidP="00021F62">
            <w:pPr>
              <w:pStyle w:val="TableParagraph"/>
              <w:ind w:right="21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тис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рн.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596" w:rsidRPr="00412EE2" w:rsidRDefault="00E91596" w:rsidP="00021F62">
            <w:pPr>
              <w:pStyle w:val="TableParagraph"/>
              <w:ind w:left="106" w:right="143" w:firstLine="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="006F16E7"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  <w:p w:rsidR="00E91596" w:rsidRPr="00412EE2" w:rsidRDefault="00E91596" w:rsidP="00021F62">
            <w:pPr>
              <w:pStyle w:val="TableParagraph"/>
              <w:ind w:right="143" w:firstLine="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тис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6F16E7"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рн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E91596" w:rsidP="00021F62">
            <w:pPr>
              <w:pStyle w:val="TableParagraph"/>
              <w:ind w:left="242" w:right="10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2025</w:t>
            </w:r>
            <w:r w:rsidR="006F16E7"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</w:p>
          <w:p w:rsidR="00E91596" w:rsidRPr="00412EE2" w:rsidRDefault="006F16E7" w:rsidP="00021F62">
            <w:pPr>
              <w:pStyle w:val="TableParagraph"/>
              <w:ind w:left="242" w:right="10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тис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E91596"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="00E91596"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рн</w:t>
            </w:r>
            <w:proofErr w:type="spellEnd"/>
          </w:p>
        </w:tc>
      </w:tr>
      <w:tr w:rsidR="00E91596" w:rsidRPr="00412EE2" w:rsidTr="00021F62">
        <w:trPr>
          <w:trHeight w:val="1204"/>
        </w:trPr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tabs>
                <w:tab w:val="left" w:pos="1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252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10500</w:t>
            </w: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E91596" w:rsidP="00F9654F">
            <w:pPr>
              <w:pStyle w:val="TableParagraph"/>
              <w:spacing w:line="252" w:lineRule="exact"/>
              <w:ind w:right="33" w:firstLine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11700,00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252" w:lineRule="exact"/>
              <w:ind w:right="21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12900,00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596" w:rsidRPr="00412EE2" w:rsidRDefault="00BA1F05" w:rsidP="00021F62">
            <w:pPr>
              <w:pStyle w:val="TableParagraph"/>
              <w:spacing w:line="252" w:lineRule="exact"/>
              <w:ind w:right="143" w:firstLine="1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14100,00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BA1F05" w:rsidP="00021F62">
            <w:pPr>
              <w:pStyle w:val="TableParagraph"/>
              <w:spacing w:line="252" w:lineRule="exact"/>
              <w:ind w:righ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15300,00</w:t>
            </w:r>
          </w:p>
        </w:tc>
      </w:tr>
      <w:tr w:rsidR="00E91596" w:rsidRPr="00412EE2" w:rsidTr="00021F62">
        <w:trPr>
          <w:trHeight w:val="120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tabs>
                <w:tab w:val="left" w:pos="1135"/>
              </w:tabs>
              <w:spacing w:line="31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державного</w:t>
            </w:r>
            <w:proofErr w:type="gramEnd"/>
          </w:p>
          <w:p w:rsidR="00E91596" w:rsidRPr="00412EE2" w:rsidRDefault="00E91596" w:rsidP="00CA7A44">
            <w:pPr>
              <w:pStyle w:val="TableParagraph"/>
              <w:tabs>
                <w:tab w:val="left" w:pos="1135"/>
              </w:tabs>
              <w:spacing w:line="315" w:lineRule="exact"/>
              <w:ind w:right="89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бюджету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252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252" w:lineRule="exact"/>
              <w:ind w:right="33" w:firstLine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252" w:lineRule="exact"/>
              <w:ind w:right="21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252" w:lineRule="exact"/>
              <w:ind w:right="143" w:firstLine="1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1100,00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91596" w:rsidRPr="00412EE2" w:rsidRDefault="00BA1F05" w:rsidP="00021F62">
            <w:pPr>
              <w:pStyle w:val="TableParagraph"/>
              <w:spacing w:line="252" w:lineRule="exact"/>
              <w:ind w:righ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1300,00</w:t>
            </w:r>
          </w:p>
        </w:tc>
      </w:tr>
      <w:tr w:rsidR="00E91596" w:rsidRPr="00412EE2" w:rsidTr="00021F62">
        <w:trPr>
          <w:trHeight w:val="120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tabs>
                <w:tab w:val="left" w:pos="1135"/>
              </w:tabs>
              <w:ind w:right="28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обласного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бюджету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315" w:lineRule="exact"/>
              <w:ind w:right="33" w:firstLine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315" w:lineRule="exact"/>
              <w:ind w:right="21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315" w:lineRule="exact"/>
              <w:ind w:right="143" w:firstLine="1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1100,00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BA1F05" w:rsidP="00021F62">
            <w:pPr>
              <w:pStyle w:val="TableParagraph"/>
              <w:spacing w:line="315" w:lineRule="exact"/>
              <w:ind w:righ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1300,00</w:t>
            </w:r>
          </w:p>
        </w:tc>
      </w:tr>
      <w:tr w:rsidR="00E91596" w:rsidRPr="00412EE2" w:rsidTr="00021F62">
        <w:trPr>
          <w:trHeight w:val="120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550A41" w:rsidP="00CA7A44">
            <w:pPr>
              <w:pStyle w:val="TableParagraph"/>
              <w:tabs>
                <w:tab w:val="left" w:pos="1135"/>
              </w:tabs>
              <w:ind w:right="39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селищного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91596"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бюджету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550A41" w:rsidP="00021F62">
            <w:pPr>
              <w:pStyle w:val="TableParagraph"/>
              <w:spacing w:line="315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  <w:r w:rsidR="00E91596" w:rsidRPr="00412EE2">
              <w:rPr>
                <w:rFonts w:ascii="Times New Roman" w:hAnsi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F9654F" w:rsidP="00F9654F">
            <w:pPr>
              <w:pStyle w:val="TableParagraph"/>
              <w:spacing w:line="315" w:lineRule="exact"/>
              <w:ind w:right="33" w:firstLine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8300,00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315" w:lineRule="exact"/>
              <w:ind w:right="21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8800,00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596" w:rsidRPr="00412EE2" w:rsidRDefault="00BA1F05" w:rsidP="00021F62">
            <w:pPr>
              <w:pStyle w:val="TableParagraph"/>
              <w:spacing w:line="315" w:lineRule="exact"/>
              <w:ind w:right="143" w:firstLine="1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9300,00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F9654F" w:rsidP="00021F62">
            <w:pPr>
              <w:pStyle w:val="TableParagraph"/>
              <w:spacing w:line="315" w:lineRule="exact"/>
              <w:ind w:righ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BA1F05" w:rsidRPr="00412EE2">
              <w:rPr>
                <w:rFonts w:ascii="Times New Roman" w:hAnsi="Times New Roman"/>
                <w:sz w:val="24"/>
                <w:szCs w:val="24"/>
                <w:lang w:val="uk-UA"/>
              </w:rPr>
              <w:t>800,00</w:t>
            </w:r>
          </w:p>
        </w:tc>
      </w:tr>
      <w:tr w:rsidR="00E91596" w:rsidRPr="00412EE2" w:rsidTr="00021F62">
        <w:trPr>
          <w:trHeight w:val="120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96" w:rsidRPr="00412EE2" w:rsidRDefault="00E91596" w:rsidP="00CA7A44">
            <w:pPr>
              <w:pStyle w:val="TableParagraph"/>
              <w:tabs>
                <w:tab w:val="left" w:pos="1135"/>
              </w:tabs>
              <w:ind w:right="77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2EE2">
              <w:rPr>
                <w:rFonts w:ascii="Times New Roman" w:hAnsi="Times New Roman"/>
                <w:sz w:val="24"/>
                <w:szCs w:val="24"/>
                <w:lang w:val="ru-RU"/>
              </w:rPr>
              <w:t>джерел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E91596" w:rsidP="00F9654F">
            <w:pPr>
              <w:pStyle w:val="TableParagraph"/>
              <w:spacing w:line="252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E91596" w:rsidP="00F9654F">
            <w:pPr>
              <w:pStyle w:val="TableParagraph"/>
              <w:spacing w:line="252" w:lineRule="exact"/>
              <w:ind w:right="33" w:firstLine="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596" w:rsidRPr="00412EE2" w:rsidRDefault="00E91596" w:rsidP="00021F62">
            <w:pPr>
              <w:pStyle w:val="TableParagraph"/>
              <w:spacing w:line="252" w:lineRule="exact"/>
              <w:ind w:right="21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596" w:rsidRPr="00412EE2" w:rsidRDefault="00BA1F05" w:rsidP="00021F62">
            <w:pPr>
              <w:pStyle w:val="TableParagraph"/>
              <w:spacing w:line="252" w:lineRule="exact"/>
              <w:ind w:right="143" w:firstLine="1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2600,00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596" w:rsidRPr="00412EE2" w:rsidRDefault="00BA1F05" w:rsidP="00021F62">
            <w:pPr>
              <w:pStyle w:val="TableParagraph"/>
              <w:spacing w:line="252" w:lineRule="exact"/>
              <w:ind w:right="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/>
                <w:sz w:val="24"/>
                <w:szCs w:val="24"/>
                <w:lang w:val="uk-UA"/>
              </w:rPr>
              <w:t>2900,00</w:t>
            </w:r>
          </w:p>
        </w:tc>
      </w:tr>
    </w:tbl>
    <w:p w:rsidR="008B51B0" w:rsidRDefault="008B51B0" w:rsidP="00CA4ADE">
      <w:pPr>
        <w:pStyle w:val="a3"/>
        <w:shd w:val="clear" w:color="auto" w:fill="FFFFFF"/>
        <w:ind w:firstLine="708"/>
        <w:jc w:val="center"/>
        <w:rPr>
          <w:b/>
          <w:lang w:val="uk-UA"/>
        </w:rPr>
      </w:pPr>
    </w:p>
    <w:p w:rsidR="00412EE2" w:rsidRDefault="00412EE2" w:rsidP="00CA4ADE">
      <w:pPr>
        <w:pStyle w:val="a3"/>
        <w:shd w:val="clear" w:color="auto" w:fill="FFFFFF"/>
        <w:ind w:firstLine="708"/>
        <w:jc w:val="center"/>
        <w:rPr>
          <w:b/>
          <w:lang w:val="uk-UA"/>
        </w:rPr>
      </w:pPr>
    </w:p>
    <w:p w:rsidR="00412EE2" w:rsidRDefault="00412EE2" w:rsidP="00CA4ADE">
      <w:pPr>
        <w:pStyle w:val="a3"/>
        <w:shd w:val="clear" w:color="auto" w:fill="FFFFFF"/>
        <w:ind w:firstLine="708"/>
        <w:jc w:val="center"/>
        <w:rPr>
          <w:b/>
          <w:lang w:val="uk-UA"/>
        </w:rPr>
      </w:pPr>
    </w:p>
    <w:p w:rsidR="00412EE2" w:rsidRDefault="00412EE2" w:rsidP="00CA4ADE">
      <w:pPr>
        <w:pStyle w:val="a3"/>
        <w:shd w:val="clear" w:color="auto" w:fill="FFFFFF"/>
        <w:ind w:firstLine="708"/>
        <w:jc w:val="center"/>
        <w:rPr>
          <w:b/>
          <w:lang w:val="uk-UA"/>
        </w:rPr>
      </w:pPr>
    </w:p>
    <w:p w:rsidR="00412EE2" w:rsidRDefault="00412EE2" w:rsidP="00CA4ADE">
      <w:pPr>
        <w:pStyle w:val="a3"/>
        <w:shd w:val="clear" w:color="auto" w:fill="FFFFFF"/>
        <w:ind w:firstLine="708"/>
        <w:jc w:val="center"/>
        <w:rPr>
          <w:b/>
          <w:lang w:val="uk-UA"/>
        </w:rPr>
      </w:pPr>
    </w:p>
    <w:p w:rsidR="00412EE2" w:rsidRDefault="00412EE2" w:rsidP="00CA4ADE">
      <w:pPr>
        <w:pStyle w:val="a3"/>
        <w:shd w:val="clear" w:color="auto" w:fill="FFFFFF"/>
        <w:ind w:firstLine="708"/>
        <w:jc w:val="center"/>
        <w:rPr>
          <w:b/>
          <w:lang w:val="uk-UA"/>
        </w:rPr>
      </w:pPr>
    </w:p>
    <w:p w:rsidR="00412EE2" w:rsidRDefault="00412EE2" w:rsidP="00CA4ADE">
      <w:pPr>
        <w:pStyle w:val="a3"/>
        <w:shd w:val="clear" w:color="auto" w:fill="FFFFFF"/>
        <w:ind w:firstLine="708"/>
        <w:jc w:val="center"/>
        <w:rPr>
          <w:b/>
          <w:lang w:val="uk-UA"/>
        </w:rPr>
      </w:pPr>
    </w:p>
    <w:p w:rsidR="00412EE2" w:rsidRDefault="00412EE2" w:rsidP="00CA4ADE">
      <w:pPr>
        <w:pStyle w:val="a3"/>
        <w:shd w:val="clear" w:color="auto" w:fill="FFFFFF"/>
        <w:ind w:firstLine="708"/>
        <w:jc w:val="center"/>
        <w:rPr>
          <w:b/>
          <w:lang w:val="uk-UA"/>
        </w:rPr>
      </w:pPr>
    </w:p>
    <w:p w:rsidR="00412EE2" w:rsidRPr="00412EE2" w:rsidRDefault="00412EE2" w:rsidP="00CA4ADE">
      <w:pPr>
        <w:pStyle w:val="a3"/>
        <w:shd w:val="clear" w:color="auto" w:fill="FFFFFF"/>
        <w:ind w:firstLine="708"/>
        <w:jc w:val="center"/>
        <w:rPr>
          <w:b/>
          <w:lang w:val="uk-UA"/>
        </w:rPr>
      </w:pPr>
    </w:p>
    <w:p w:rsidR="00CA4ADE" w:rsidRPr="00412EE2" w:rsidRDefault="00062754" w:rsidP="00DA5AD0">
      <w:pPr>
        <w:pStyle w:val="a3"/>
        <w:shd w:val="clear" w:color="auto" w:fill="FFFFFF"/>
        <w:ind w:left="-567" w:firstLine="851"/>
        <w:jc w:val="center"/>
        <w:rPr>
          <w:b/>
          <w:lang w:val="uk-UA"/>
        </w:rPr>
      </w:pPr>
      <w:r w:rsidRPr="00412EE2">
        <w:rPr>
          <w:b/>
          <w:lang w:val="uk-UA"/>
        </w:rPr>
        <w:lastRenderedPageBreak/>
        <w:t>І</w:t>
      </w:r>
      <w:r w:rsidR="00CA4ADE" w:rsidRPr="00412EE2">
        <w:rPr>
          <w:b/>
          <w:lang w:val="uk-UA"/>
        </w:rPr>
        <w:t>І ВСТУП</w:t>
      </w:r>
    </w:p>
    <w:p w:rsidR="00684CBA" w:rsidRPr="00412EE2" w:rsidRDefault="00684CBA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Загальна спрямованість модернізації освіти полягає у необхідності забезпечення її відповідності європейським стандартам, потребам сучасного життя країни та регіону, цілеспрямованій орієнтації на задоволення запитів жителів громади щодо якісної та доступної освіти</w:t>
      </w:r>
      <w:r w:rsidR="000E1896" w:rsidRPr="00412EE2">
        <w:rPr>
          <w:lang w:val="uk-UA"/>
        </w:rPr>
        <w:t>, розвитку молоді та спорту</w:t>
      </w:r>
      <w:r w:rsidRPr="00412EE2">
        <w:rPr>
          <w:lang w:val="uk-UA"/>
        </w:rPr>
        <w:t>.</w:t>
      </w:r>
    </w:p>
    <w:p w:rsidR="00684CBA" w:rsidRPr="00412EE2" w:rsidRDefault="00684CBA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 xml:space="preserve">Реалізація цієї вимоги передбачає постійне навчання з раннього дитинства, гармонійне поєднання формальної, неформальної та </w:t>
      </w:r>
      <w:proofErr w:type="spellStart"/>
      <w:r w:rsidRPr="00412EE2">
        <w:rPr>
          <w:lang w:val="uk-UA"/>
        </w:rPr>
        <w:t>інформальної</w:t>
      </w:r>
      <w:proofErr w:type="spellEnd"/>
      <w:r w:rsidRPr="00412EE2">
        <w:rPr>
          <w:lang w:val="uk-UA"/>
        </w:rPr>
        <w:t xml:space="preserve"> освіти, </w:t>
      </w:r>
      <w:proofErr w:type="spellStart"/>
      <w:r w:rsidRPr="00412EE2">
        <w:rPr>
          <w:lang w:val="uk-UA"/>
        </w:rPr>
        <w:t>самомотивацію</w:t>
      </w:r>
      <w:proofErr w:type="spellEnd"/>
      <w:r w:rsidRPr="00412EE2">
        <w:rPr>
          <w:lang w:val="uk-UA"/>
        </w:rPr>
        <w:t xml:space="preserve"> до освітньої </w:t>
      </w:r>
      <w:r w:rsidR="000E1896" w:rsidRPr="00412EE2">
        <w:rPr>
          <w:lang w:val="uk-UA"/>
        </w:rPr>
        <w:t xml:space="preserve">та спортивної </w:t>
      </w:r>
      <w:r w:rsidRPr="00412EE2">
        <w:rPr>
          <w:lang w:val="uk-UA"/>
        </w:rPr>
        <w:t>діяльності.</w:t>
      </w:r>
    </w:p>
    <w:p w:rsidR="00106F9D" w:rsidRPr="00412EE2" w:rsidRDefault="00684CBA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Стратегічний курс суспільства на посилення ролі регіонів у регулюванні суспільного життя та соціально-економічного розвитку зумовив переоцінку традиційних факторів регіонального розвитку, у тому числі й переосмислення функції освіти,</w:t>
      </w:r>
      <w:r w:rsidR="000E1896" w:rsidRPr="00412EE2">
        <w:rPr>
          <w:lang w:val="uk-UA"/>
        </w:rPr>
        <w:t xml:space="preserve"> фізичного виховання та популяризації здорового способу життя,</w:t>
      </w:r>
      <w:r w:rsidRPr="00412EE2">
        <w:rPr>
          <w:lang w:val="uk-UA"/>
        </w:rPr>
        <w:t xml:space="preserve"> набуття нею першочергового значення як рушійної сили позитивних суспільних змін в кожній окремо взятій громаді.</w:t>
      </w:r>
    </w:p>
    <w:p w:rsidR="00106F9D" w:rsidRPr="00412EE2" w:rsidRDefault="00684CBA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В умовах високого динамізму розвитку науки та освіти, стрімкого оновлення системи знань на перший план виступають завдання перегляду змісту, форм і методів навчання, орієнтації освіти на особистість учня, запровадження нових технологій навчання, які забезпечували б високу якість підготовки випускників</w:t>
      </w:r>
      <w:r w:rsidR="00106F9D" w:rsidRPr="00412EE2">
        <w:rPr>
          <w:lang w:val="uk-UA"/>
        </w:rPr>
        <w:t>.</w:t>
      </w:r>
    </w:p>
    <w:p w:rsidR="00684CBA" w:rsidRPr="00412EE2" w:rsidRDefault="00684CBA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Комплексна Програма розвитку освіти</w:t>
      </w:r>
      <w:r w:rsidR="000E1896" w:rsidRPr="00412EE2">
        <w:rPr>
          <w:lang w:val="uk-UA"/>
        </w:rPr>
        <w:t>, молоді та спорту</w:t>
      </w:r>
      <w:r w:rsidRPr="00412EE2">
        <w:rPr>
          <w:lang w:val="uk-UA"/>
        </w:rPr>
        <w:t xml:space="preserve"> </w:t>
      </w:r>
      <w:r w:rsidR="00106F9D" w:rsidRPr="00412EE2">
        <w:rPr>
          <w:lang w:val="uk-UA"/>
        </w:rPr>
        <w:t xml:space="preserve">Калинівської селищної ради </w:t>
      </w:r>
      <w:r w:rsidRPr="00412EE2">
        <w:rPr>
          <w:lang w:val="uk-UA"/>
        </w:rPr>
        <w:t>на</w:t>
      </w:r>
      <w:r w:rsidR="00CA4ADE" w:rsidRPr="00412EE2">
        <w:rPr>
          <w:lang w:val="uk-UA"/>
        </w:rPr>
        <w:t xml:space="preserve"> </w:t>
      </w:r>
      <w:r w:rsidR="00106F9D" w:rsidRPr="00412EE2">
        <w:rPr>
          <w:rStyle w:val="a4"/>
          <w:lang w:val="uk-UA"/>
        </w:rPr>
        <w:t>2021-202</w:t>
      </w:r>
      <w:r w:rsidR="003E3196" w:rsidRPr="00412EE2">
        <w:rPr>
          <w:rStyle w:val="a4"/>
          <w:lang w:val="uk-UA"/>
        </w:rPr>
        <w:t>5</w:t>
      </w:r>
      <w:r w:rsidRPr="00412EE2">
        <w:rPr>
          <w:rStyle w:val="a4"/>
          <w:lang w:val="uk-UA"/>
        </w:rPr>
        <w:t xml:space="preserve"> роки</w:t>
      </w:r>
      <w:r w:rsidR="00CA4ADE" w:rsidRPr="00412EE2">
        <w:rPr>
          <w:lang w:val="uk-UA"/>
        </w:rPr>
        <w:t xml:space="preserve"> </w:t>
      </w:r>
      <w:r w:rsidRPr="00412EE2">
        <w:rPr>
          <w:lang w:val="uk-UA"/>
        </w:rPr>
        <w:t xml:space="preserve">(далі – Програма) визначає стратегічні пріоритети розвитку освіти громади, </w:t>
      </w:r>
      <w:r w:rsidR="000E1896" w:rsidRPr="00412EE2">
        <w:rPr>
          <w:lang w:val="uk-UA"/>
        </w:rPr>
        <w:t xml:space="preserve">фізичного виховання, </w:t>
      </w:r>
      <w:r w:rsidRPr="00412EE2">
        <w:rPr>
          <w:lang w:val="uk-UA"/>
        </w:rPr>
        <w:t>започатковує організаційні шляхи її реалізації, обґрунтовує ресурсні потреби. Вона скеровує педагогічну спільноту до реалізації ціннісних пріоритетів особистості, суспільства, держави, громади на засадах європейських вимірів якості освіти.</w:t>
      </w:r>
    </w:p>
    <w:p w:rsidR="00106F9D" w:rsidRPr="00412EE2" w:rsidRDefault="00684CBA" w:rsidP="00DA5AD0">
      <w:pPr>
        <w:pStyle w:val="a6"/>
        <w:ind w:left="-567" w:right="100" w:firstLine="851"/>
        <w:jc w:val="both"/>
        <w:rPr>
          <w:sz w:val="24"/>
          <w:szCs w:val="24"/>
          <w:lang w:val="uk-UA"/>
        </w:rPr>
      </w:pPr>
      <w:r w:rsidRPr="00412EE2">
        <w:rPr>
          <w:sz w:val="24"/>
          <w:szCs w:val="24"/>
          <w:lang w:val="uk-UA"/>
        </w:rPr>
        <w:t>Пр</w:t>
      </w:r>
      <w:r w:rsidR="00106F9D" w:rsidRPr="00412EE2">
        <w:rPr>
          <w:sz w:val="24"/>
          <w:szCs w:val="24"/>
          <w:lang w:val="uk-UA"/>
        </w:rPr>
        <w:t xml:space="preserve">ограма розроблена відповідно </w:t>
      </w:r>
      <w:r w:rsidR="00574645" w:rsidRPr="00412EE2">
        <w:rPr>
          <w:sz w:val="24"/>
          <w:szCs w:val="24"/>
          <w:lang w:val="uk-UA"/>
        </w:rPr>
        <w:t>до Конвенції про права дитини, Конвенції права ос</w:t>
      </w:r>
      <w:r w:rsidR="003E3196" w:rsidRPr="00412EE2">
        <w:rPr>
          <w:sz w:val="24"/>
          <w:szCs w:val="24"/>
          <w:lang w:val="uk-UA"/>
        </w:rPr>
        <w:t>і</w:t>
      </w:r>
      <w:r w:rsidR="00574645" w:rsidRPr="00412EE2">
        <w:rPr>
          <w:sz w:val="24"/>
          <w:szCs w:val="24"/>
          <w:lang w:val="uk-UA"/>
        </w:rPr>
        <w:t>б з інвалідністю,</w:t>
      </w:r>
      <w:r w:rsidR="00106F9D" w:rsidRPr="00412EE2">
        <w:rPr>
          <w:sz w:val="24"/>
          <w:szCs w:val="24"/>
          <w:lang w:val="uk-UA"/>
        </w:rPr>
        <w:t xml:space="preserve"> </w:t>
      </w:r>
      <w:r w:rsidRPr="00412EE2">
        <w:rPr>
          <w:sz w:val="24"/>
          <w:szCs w:val="24"/>
          <w:lang w:val="uk-UA"/>
        </w:rPr>
        <w:t>законів України «Про місцеве самоврядування в Україні», «Про освіту», «Про загальну середню освіту», «Про дошкільну осві</w:t>
      </w:r>
      <w:r w:rsidR="00106F9D" w:rsidRPr="00412EE2">
        <w:rPr>
          <w:sz w:val="24"/>
          <w:szCs w:val="24"/>
          <w:lang w:val="uk-UA"/>
        </w:rPr>
        <w:t xml:space="preserve">ту», «Про позашкільну освіту», </w:t>
      </w:r>
      <w:r w:rsidRPr="00412EE2">
        <w:rPr>
          <w:sz w:val="24"/>
          <w:szCs w:val="24"/>
          <w:lang w:val="uk-UA"/>
        </w:rPr>
        <w:t>«Про охорону дитинства»,</w:t>
      </w:r>
      <w:r w:rsidR="00574645" w:rsidRPr="00412EE2">
        <w:rPr>
          <w:sz w:val="24"/>
          <w:szCs w:val="24"/>
          <w:lang w:val="uk-UA"/>
        </w:rPr>
        <w:t xml:space="preserve"> «Про </w:t>
      </w:r>
      <w:proofErr w:type="spellStart"/>
      <w:r w:rsidR="00574645" w:rsidRPr="00412EE2">
        <w:rPr>
          <w:sz w:val="24"/>
          <w:szCs w:val="24"/>
          <w:lang w:val="uk-UA"/>
        </w:rPr>
        <w:t>пріорітетні</w:t>
      </w:r>
      <w:proofErr w:type="spellEnd"/>
      <w:r w:rsidR="00574645" w:rsidRPr="00412EE2">
        <w:rPr>
          <w:sz w:val="24"/>
          <w:szCs w:val="24"/>
          <w:lang w:val="uk-UA"/>
        </w:rPr>
        <w:t xml:space="preserve"> напрямки інноваційної діяльності в Україні», «Про забезпечення  організаційно-правових умов соціального захисту дітей-сиріт та дітей,</w:t>
      </w:r>
      <w:r w:rsidR="00B94F40" w:rsidRPr="00412EE2">
        <w:rPr>
          <w:sz w:val="24"/>
          <w:szCs w:val="24"/>
          <w:lang w:val="uk-UA"/>
        </w:rPr>
        <w:t xml:space="preserve"> позбавлених батьківського піклування», «Про державну соціальну допомогу малозабезпеченим сім’ям» </w:t>
      </w:r>
      <w:r w:rsidR="00B94F40" w:rsidRPr="00412EE2">
        <w:rPr>
          <w:bCs/>
          <w:sz w:val="24"/>
          <w:szCs w:val="24"/>
          <w:lang w:val="uk-UA"/>
        </w:rPr>
        <w:t>(зі змінами)</w:t>
      </w:r>
      <w:r w:rsidR="00B94F40" w:rsidRPr="00412EE2">
        <w:rPr>
          <w:sz w:val="24"/>
          <w:szCs w:val="24"/>
          <w:lang w:val="uk-UA"/>
        </w:rPr>
        <w:t xml:space="preserve">;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 від 14.12.2016 № 988-р, (далі –Концепція), виконання плану заходів на 2017-2029 роки із запровадженням Концепції, затвердженого розпорядженням Кабінету Міністрів України від 13.12.2017 № 903-р; Указів Президента України від 12.06.2015 року № 334/2015 «Про заходи щодо поліпшення національно-патріотичного виховання дітей та молоді», від 25.08.2015 року № 501/2015 «Про затвердження Національної стратегії у сфері прав людини»; </w:t>
      </w:r>
      <w:r w:rsidR="00B94F40" w:rsidRPr="00412EE2">
        <w:rPr>
          <w:bCs/>
          <w:sz w:val="24"/>
          <w:szCs w:val="24"/>
          <w:lang w:val="uk-UA"/>
        </w:rPr>
        <w:t>постанов Кабінету Міністрів України</w:t>
      </w:r>
      <w:r w:rsidR="00B94F40" w:rsidRPr="00412EE2">
        <w:rPr>
          <w:b/>
          <w:bCs/>
          <w:sz w:val="24"/>
          <w:szCs w:val="24"/>
          <w:lang w:val="uk-UA"/>
        </w:rPr>
        <w:t xml:space="preserve"> </w:t>
      </w:r>
      <w:r w:rsidR="00B94F40" w:rsidRPr="00412EE2">
        <w:rPr>
          <w:sz w:val="24"/>
          <w:szCs w:val="24"/>
          <w:lang w:val="uk-UA"/>
        </w:rPr>
        <w:t>від 21.02.2018 № 87 «Про затвердження Державного стандарту початкової освіти», від 23.11.2011 №1392 «Про затвердження Державного стандарту базової і повної загальної середньої освіти», від 27.08.2010 № 777 «Про затвердження Положення про освітній округ», від 12.03.2003 № 306 «Про затвердження Положення про навчально-виховний комплекс «дошкільний навчальний заклад – загальноосвітній навчальний заклад», "загальноосвітній навчальний заклад – дошкільний навчальний заклад"(редакція від 04.09.2010 року), від 12.03.2003 №305 «</w:t>
      </w:r>
      <w:hyperlink r:id="rId8">
        <w:r w:rsidR="00B94F40" w:rsidRPr="00412EE2">
          <w:rPr>
            <w:sz w:val="24"/>
            <w:szCs w:val="24"/>
            <w:lang w:val="uk-UA"/>
          </w:rPr>
          <w:t>Про затвердження</w:t>
        </w:r>
      </w:hyperlink>
      <w:r w:rsidR="00B94F40" w:rsidRPr="00412EE2">
        <w:rPr>
          <w:sz w:val="24"/>
          <w:szCs w:val="24"/>
          <w:lang w:val="uk-UA"/>
        </w:rPr>
        <w:t xml:space="preserve"> </w:t>
      </w:r>
      <w:hyperlink r:id="rId9">
        <w:r w:rsidR="00B94F40" w:rsidRPr="00412EE2">
          <w:rPr>
            <w:sz w:val="24"/>
            <w:szCs w:val="24"/>
            <w:lang w:val="uk-UA"/>
          </w:rPr>
          <w:t>Положення про дошкільний навчальний заклад</w:t>
        </w:r>
      </w:hyperlink>
      <w:r w:rsidR="00B94F40" w:rsidRPr="00412EE2">
        <w:rPr>
          <w:sz w:val="24"/>
          <w:szCs w:val="24"/>
          <w:lang w:val="uk-UA"/>
        </w:rPr>
        <w:t xml:space="preserve">», від 06.05.2001 №433 </w:t>
      </w:r>
      <w:hyperlink r:id="rId10">
        <w:r w:rsidR="00B94F40" w:rsidRPr="00412EE2">
          <w:rPr>
            <w:sz w:val="24"/>
            <w:szCs w:val="24"/>
            <w:lang w:val="uk-UA"/>
          </w:rPr>
          <w:t>“Про</w:t>
        </w:r>
      </w:hyperlink>
      <w:r w:rsidR="00B94F40" w:rsidRPr="00412EE2">
        <w:rPr>
          <w:sz w:val="24"/>
          <w:szCs w:val="24"/>
          <w:lang w:val="uk-UA"/>
        </w:rPr>
        <w:t xml:space="preserve"> </w:t>
      </w:r>
      <w:hyperlink r:id="rId11">
        <w:r w:rsidR="00B94F40" w:rsidRPr="00412EE2">
          <w:rPr>
            <w:sz w:val="24"/>
            <w:szCs w:val="24"/>
            <w:lang w:val="uk-UA"/>
          </w:rPr>
          <w:t>затвердження переліку типів позашкільних навчальних закладів і Положення про</w:t>
        </w:r>
      </w:hyperlink>
      <w:r w:rsidR="00B94F40" w:rsidRPr="00412EE2">
        <w:rPr>
          <w:sz w:val="24"/>
          <w:szCs w:val="24"/>
          <w:lang w:val="uk-UA"/>
        </w:rPr>
        <w:t xml:space="preserve"> </w:t>
      </w:r>
      <w:hyperlink r:id="rId12">
        <w:r w:rsidR="00B94F40" w:rsidRPr="00412EE2">
          <w:rPr>
            <w:sz w:val="24"/>
            <w:szCs w:val="24"/>
            <w:lang w:val="uk-UA"/>
          </w:rPr>
          <w:t>позашкільний навчальний заклад” (редакція від 26.07.2018 року),</w:t>
        </w:r>
      </w:hyperlink>
      <w:r w:rsidR="00B94F40" w:rsidRPr="00412EE2">
        <w:rPr>
          <w:sz w:val="24"/>
          <w:szCs w:val="24"/>
          <w:lang w:val="uk-UA"/>
        </w:rPr>
        <w:t xml:space="preserve"> від 15.08.2011 №872 «</w:t>
      </w:r>
      <w:hyperlink r:id="rId13">
        <w:r w:rsidR="00B94F40" w:rsidRPr="00412EE2">
          <w:rPr>
            <w:sz w:val="24"/>
            <w:szCs w:val="24"/>
            <w:lang w:val="uk-UA"/>
          </w:rPr>
          <w:t>Про затвердження Порядку організації інклюзивного навчання у</w:t>
        </w:r>
      </w:hyperlink>
      <w:r w:rsidR="00B94F40" w:rsidRPr="00412EE2">
        <w:rPr>
          <w:sz w:val="24"/>
          <w:szCs w:val="24"/>
          <w:lang w:val="uk-UA"/>
        </w:rPr>
        <w:t xml:space="preserve"> </w:t>
      </w:r>
      <w:hyperlink r:id="rId14">
        <w:r w:rsidR="00B94F40" w:rsidRPr="00412EE2">
          <w:rPr>
            <w:sz w:val="24"/>
            <w:szCs w:val="24"/>
            <w:lang w:val="uk-UA"/>
          </w:rPr>
          <w:t>загальноосвітніх навчальних закладах</w:t>
        </w:r>
      </w:hyperlink>
      <w:r w:rsidR="00B94F40" w:rsidRPr="00412EE2">
        <w:rPr>
          <w:sz w:val="24"/>
          <w:szCs w:val="24"/>
          <w:lang w:val="uk-UA"/>
        </w:rPr>
        <w:t xml:space="preserve">» (редакція від 16.08.2017 року), від 30.12.2015  № 1187 «Про затвердження Ліцензійних  умов провадження освітньої діяльності», </w:t>
      </w:r>
      <w:hyperlink r:id="rId15">
        <w:r w:rsidR="00B94F40" w:rsidRPr="00412EE2">
          <w:rPr>
            <w:sz w:val="24"/>
            <w:szCs w:val="24"/>
            <w:lang w:val="uk-UA"/>
          </w:rPr>
          <w:t>від 20.07.2004 № 601 "Про затвердження</w:t>
        </w:r>
      </w:hyperlink>
      <w:r w:rsidR="00B94F40" w:rsidRPr="00412EE2">
        <w:rPr>
          <w:sz w:val="24"/>
          <w:szCs w:val="24"/>
          <w:lang w:val="uk-UA"/>
        </w:rPr>
        <w:t xml:space="preserve"> </w:t>
      </w:r>
      <w:hyperlink r:id="rId16">
        <w:r w:rsidR="00B94F40" w:rsidRPr="00412EE2">
          <w:rPr>
            <w:sz w:val="24"/>
            <w:szCs w:val="24"/>
            <w:lang w:val="uk-UA"/>
          </w:rPr>
          <w:t>Положення про навчальні кабінети загальноосвітніх навчальних закладів"</w:t>
        </w:r>
      </w:hyperlink>
      <w:r w:rsidR="00B94F40" w:rsidRPr="00412EE2">
        <w:rPr>
          <w:sz w:val="24"/>
          <w:szCs w:val="24"/>
          <w:lang w:val="uk-UA"/>
        </w:rPr>
        <w:t>; Положення про інклюзивно-ресурсний центр, затверджене  Постановою Кабінету Міністрів України від 12 липня 2017 року № 545</w:t>
      </w:r>
      <w:r w:rsidR="00B94F40" w:rsidRPr="00412EE2">
        <w:rPr>
          <w:b/>
          <w:sz w:val="24"/>
          <w:szCs w:val="24"/>
          <w:lang w:val="uk-UA"/>
        </w:rPr>
        <w:t>;</w:t>
      </w:r>
      <w:r w:rsidR="00B94F40" w:rsidRPr="00412EE2">
        <w:rPr>
          <w:sz w:val="24"/>
          <w:szCs w:val="24"/>
          <w:lang w:val="uk-UA"/>
        </w:rPr>
        <w:t xml:space="preserve">  </w:t>
      </w:r>
      <w:r w:rsidR="00B94F40" w:rsidRPr="00412EE2">
        <w:rPr>
          <w:bCs/>
          <w:sz w:val="24"/>
          <w:szCs w:val="24"/>
          <w:lang w:val="uk-UA"/>
        </w:rPr>
        <w:t xml:space="preserve">наказів Міністерства освіти і науки України від 29.01.2015 № 63 «Про затвердження Плану заходів Міністерства освіти і науки з виконання Програми діяльності Кабінету Міністрів України та Коаліційної угоди», </w:t>
      </w:r>
      <w:r w:rsidR="00B94F40" w:rsidRPr="00412EE2">
        <w:rPr>
          <w:sz w:val="24"/>
          <w:szCs w:val="24"/>
          <w:lang w:val="uk-UA"/>
        </w:rPr>
        <w:t>від 16.06.2015 року № 641 «Про затвердження Концепції національно – патріотичного виховання дітей і молоді, Заходів щодо реалізації Концепції національно – патріотичного виховання дітей і молоді та методичних рекомендацій щодо національно – патріотичного виховання у загальноосвітніх навчальних закладах», від 27.10.2014 №1232 «Про затвердження плану заходів щодо посилення національно – патріотичного виховання дітей та учнівської молоді»,  від 22.05.2012 № 615 «Про затвердження Базового компоненту дошкільної освіти» (нова редакція). П</w:t>
      </w:r>
      <w:r w:rsidRPr="00412EE2">
        <w:rPr>
          <w:sz w:val="24"/>
          <w:szCs w:val="24"/>
          <w:lang w:val="uk-UA"/>
        </w:rPr>
        <w:t>останов Кабінету Міністрів України, документів Міністерства освіти і науки України, регіональних програм розвитку. При цьому Програма максимально враховує положення нових законів, законопроектів і стратегічних документів, які прямо чи опосередковано будуть впливати на розвиток освіти.</w:t>
      </w:r>
    </w:p>
    <w:p w:rsidR="00106F9D" w:rsidRPr="00412EE2" w:rsidRDefault="00684CBA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Підготовка Програми зумовлена процесами модернізації національної системи освіти в Україні, підвищенням ролі регіонального та місцевого компонентів у її розвитку. Загальна спрямованість модернізації освіти</w:t>
      </w:r>
      <w:r w:rsidR="000E1896" w:rsidRPr="00412EE2">
        <w:rPr>
          <w:lang w:val="uk-UA"/>
        </w:rPr>
        <w:t>, молоді та спорту</w:t>
      </w:r>
      <w:r w:rsidRPr="00412EE2">
        <w:rPr>
          <w:lang w:val="uk-UA"/>
        </w:rPr>
        <w:t xml:space="preserve"> </w:t>
      </w:r>
      <w:r w:rsidR="00106F9D" w:rsidRPr="00412EE2">
        <w:rPr>
          <w:lang w:val="uk-UA"/>
        </w:rPr>
        <w:t>Калинівської селищ</w:t>
      </w:r>
      <w:r w:rsidR="00412EE2">
        <w:rPr>
          <w:lang w:val="uk-UA"/>
        </w:rPr>
        <w:t xml:space="preserve">ної ради </w:t>
      </w:r>
      <w:r w:rsidRPr="00412EE2">
        <w:rPr>
          <w:lang w:val="uk-UA"/>
        </w:rPr>
        <w:t xml:space="preserve"> полягає у необхідності забезпечення її відповідності європейським стандартам, потребам сучасного життя країни, цілеспрямованому орієнтуванню на задоволення запитів жителів щодо якісної та доступної освіти.</w:t>
      </w:r>
    </w:p>
    <w:p w:rsidR="00106F9D" w:rsidRPr="00412EE2" w:rsidRDefault="00684CBA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В умовах високого динамізму розвитку науки та освіти, стрімкого оновлення системи знань на перший план виступають завдання перегляду змісту, форм і методів навчання, орієнтації освіти на особистість учня, запровадження нових технологій навчання, які забезпечували б високу якість підготовки випускників закладів загальної середньої освіти.</w:t>
      </w:r>
    </w:p>
    <w:p w:rsidR="00106F9D" w:rsidRPr="00412EE2" w:rsidRDefault="00684CBA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Програма спрямована на розвиток здібностей дітей та молоді у сфері освіти, науки, культури, фізичної культури і спорту, технічної та іншої творчості, здобуття ними первинних професійних знань, вмінь і навичок, необхідних для їх соціалізації, подальшої самореалізації та/або професійної діяльності.</w:t>
      </w:r>
    </w:p>
    <w:p w:rsidR="00684CBA" w:rsidRPr="00412EE2" w:rsidRDefault="00684CBA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Відповідно, механізми реалізації та порядок фінансування Програми базуються на тісній кооперації з державними, обласними, районними програмами та програмами розвитку громади.</w:t>
      </w:r>
    </w:p>
    <w:p w:rsidR="00DB2193" w:rsidRPr="00412EE2" w:rsidRDefault="008B51B0" w:rsidP="00DA5AD0">
      <w:pPr>
        <w:pStyle w:val="a3"/>
        <w:shd w:val="clear" w:color="auto" w:fill="FFFFFF"/>
        <w:ind w:left="-567" w:firstLine="851"/>
        <w:jc w:val="center"/>
        <w:rPr>
          <w:lang w:val="uk-UA"/>
        </w:rPr>
      </w:pPr>
      <w:r w:rsidRPr="00412EE2">
        <w:rPr>
          <w:rStyle w:val="a4"/>
          <w:lang w:val="uk-UA"/>
        </w:rPr>
        <w:t>ІІІ. МЕТА ПРОГРАМИ</w:t>
      </w:r>
    </w:p>
    <w:p w:rsidR="00DB2193" w:rsidRPr="00412EE2" w:rsidRDefault="00DB2193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Програма розроблена з метою:</w:t>
      </w:r>
    </w:p>
    <w:p w:rsidR="00DB2193" w:rsidRPr="00412EE2" w:rsidRDefault="0076490F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–</w:t>
      </w:r>
      <w:r w:rsidR="00DB2193" w:rsidRPr="00412EE2">
        <w:rPr>
          <w:lang w:val="uk-UA"/>
        </w:rPr>
        <w:t xml:space="preserve"> забезпечення конституційного права громадян на здобуття дошкільної освіти, повної загальної середньої освіти;</w:t>
      </w:r>
    </w:p>
    <w:p w:rsidR="00DB2193" w:rsidRPr="00412EE2" w:rsidRDefault="0076490F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–</w:t>
      </w:r>
      <w:r w:rsidR="00DB2193" w:rsidRPr="00412EE2">
        <w:rPr>
          <w:lang w:val="uk-UA"/>
        </w:rPr>
        <w:t xml:space="preserve"> створення умов для розвитку доступної та якісної системи освіти </w:t>
      </w:r>
      <w:r w:rsidRPr="00412EE2">
        <w:rPr>
          <w:lang w:val="uk-UA"/>
        </w:rPr>
        <w:t>Калинівської</w:t>
      </w:r>
      <w:r w:rsidR="00DB2193" w:rsidRPr="00412EE2">
        <w:rPr>
          <w:lang w:val="uk-UA"/>
        </w:rPr>
        <w:t xml:space="preserve"> селищної ради: всебічного розвитку людини як особистості та розвитку її талантів, розумових, творчих і </w:t>
      </w:r>
      <w:r w:rsidR="00DB2193" w:rsidRPr="00412EE2">
        <w:rPr>
          <w:lang w:val="uk-UA"/>
        </w:rPr>
        <w:lastRenderedPageBreak/>
        <w:t>фізичних здібностей; виховання відповідальних громадян, здатних до свідомого суспільного вибору;</w:t>
      </w:r>
    </w:p>
    <w:p w:rsidR="00DB2193" w:rsidRPr="00412EE2" w:rsidRDefault="0076490F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–</w:t>
      </w:r>
      <w:r w:rsidR="00DB2193" w:rsidRPr="00412EE2">
        <w:rPr>
          <w:lang w:val="uk-UA"/>
        </w:rPr>
        <w:t xml:space="preserve"> покращення матеріально-технічного та фінансового забезпечення закладів освіти селищної ради;</w:t>
      </w:r>
    </w:p>
    <w:p w:rsidR="00DB2193" w:rsidRPr="00412EE2" w:rsidRDefault="00DB2193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– забезпечення участі дітей та працівників закладів освіти в районних, обласних, всеукраїнських та міжнародних</w:t>
      </w:r>
      <w:r w:rsidR="0076490F" w:rsidRPr="00412EE2">
        <w:rPr>
          <w:lang w:val="uk-UA"/>
        </w:rPr>
        <w:t xml:space="preserve"> </w:t>
      </w:r>
      <w:r w:rsidRPr="00412EE2">
        <w:rPr>
          <w:lang w:val="uk-UA"/>
        </w:rPr>
        <w:t>фестивалях, конкурсах, змаганнях, конкурса</w:t>
      </w:r>
      <w:r w:rsidR="0076490F" w:rsidRPr="00412EE2">
        <w:rPr>
          <w:lang w:val="uk-UA"/>
        </w:rPr>
        <w:t>х, виставках, конференціях тощо;</w:t>
      </w:r>
    </w:p>
    <w:p w:rsidR="00DB2193" w:rsidRPr="00412EE2" w:rsidRDefault="00DB2193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– підготовка кваліфікованих фахівців та збагачення на цій основі інтелектуального, економічного, творчого, культурного</w:t>
      </w:r>
      <w:r w:rsidR="00C3414D" w:rsidRPr="00412EE2">
        <w:rPr>
          <w:lang w:val="uk-UA"/>
        </w:rPr>
        <w:t>, спортивного</w:t>
      </w:r>
      <w:r w:rsidRPr="00412EE2">
        <w:rPr>
          <w:lang w:val="uk-UA"/>
        </w:rPr>
        <w:t xml:space="preserve"> потенціалу громади задля забезпечення сталого розвитку України та її європейського вибору;</w:t>
      </w:r>
    </w:p>
    <w:p w:rsidR="00DB2193" w:rsidRPr="00412EE2" w:rsidRDefault="00DB2193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  <w:r w:rsidRPr="00412EE2">
        <w:rPr>
          <w:lang w:val="uk-UA"/>
        </w:rPr>
        <w:t>– стимулювання професійної діяльності педагогічних працівників, результативної праці учнів та вихованців закладів освіти.</w:t>
      </w:r>
    </w:p>
    <w:p w:rsidR="00DA5AD0" w:rsidRPr="00412EE2" w:rsidRDefault="00DA5AD0" w:rsidP="00DA5AD0">
      <w:pPr>
        <w:pStyle w:val="a3"/>
        <w:shd w:val="clear" w:color="auto" w:fill="FFFFFF"/>
        <w:ind w:left="-567" w:firstLine="851"/>
        <w:jc w:val="both"/>
        <w:rPr>
          <w:lang w:val="uk-UA"/>
        </w:rPr>
      </w:pPr>
    </w:p>
    <w:p w:rsidR="008E3119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="008B51B0" w:rsidRPr="00412E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412E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="008B51B0" w:rsidRPr="00412E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ЗАВДАННЯ ПРОГРАМИ</w:t>
      </w:r>
    </w:p>
    <w:p w:rsidR="008E3119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досягнення мети програми необхідно виконати такі завдання:</w:t>
      </w:r>
    </w:p>
    <w:p w:rsidR="008E3119" w:rsidRPr="00412EE2" w:rsidRDefault="00DA5AD0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8E3119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Модернізувати систему освіти з урахуванням сучасних тенденцій розвитку галузі та місцевих потреб. Удосконалювати зміст освіти відповідно до державних стандартів дошкільної, загальної середньої освіти, впроваджувати сучасні педагогічні технології, сприяти підвищенню якості знань учнів.</w:t>
      </w:r>
    </w:p>
    <w:p w:rsidR="008E3119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Сприяти створенню у навчальних закладах умов, які відповідають сучасним вимогам розвитку освіти та забезпечують якісне проведення освітнього процесу.</w:t>
      </w:r>
    </w:p>
    <w:p w:rsidR="008E3119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Забезпечити психолого-педагогічний, медичний та методичний супровід освітнього процесу у ЗЗСО та ЗДО.</w:t>
      </w:r>
    </w:p>
    <w:p w:rsidR="008E3119" w:rsidRPr="00412EE2" w:rsidRDefault="00DA5AD0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="008E3119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Сприяти створенню сприятливого освітнього середовища для дошкільнят і учнів з особливими освітніми потребами.</w:t>
      </w:r>
    </w:p>
    <w:p w:rsidR="000C6FD8" w:rsidRPr="00412EE2" w:rsidRDefault="00DA5AD0" w:rsidP="000C6FD8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8E3119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Розвивати мережу ЗЗСО та ЗДО відповідно до демографічної ситуації.</w:t>
      </w:r>
    </w:p>
    <w:p w:rsidR="008E3119" w:rsidRPr="00412EE2" w:rsidRDefault="00DA5AD0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="008E3119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Сприяти досягненню нової сучасної якості дошкільної, загальної середньої освіти відповідно до запитів та можливостей дошкільнят, учнів, вихованців; максимальне наближення навчання і виховання кожного учня, вихованця до їх здібностей та особливостей.</w:t>
      </w:r>
    </w:p>
    <w:p w:rsidR="008E3119" w:rsidRPr="00412EE2" w:rsidRDefault="008E3119" w:rsidP="00A97862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Розвинути поза</w:t>
      </w:r>
      <w:r w:rsidR="00DA5AD0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шкільну освіту шляхом створення</w:t>
      </w: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додаткових робочих місць.</w:t>
      </w:r>
      <w:r w:rsidR="00A97862" w:rsidRPr="00412EE2">
        <w:rPr>
          <w:sz w:val="24"/>
          <w:szCs w:val="24"/>
          <w:lang w:val="uk-UA"/>
        </w:rPr>
        <w:t xml:space="preserve"> </w:t>
      </w:r>
      <w:r w:rsidR="00A97862" w:rsidRPr="00412EE2">
        <w:rPr>
          <w:rFonts w:ascii="Times New Roman" w:hAnsi="Times New Roman" w:cs="Times New Roman"/>
          <w:sz w:val="24"/>
          <w:szCs w:val="24"/>
          <w:lang w:val="uk-UA"/>
        </w:rPr>
        <w:t>Проводити культурно-масові заходи, створювати умови для занять фізичною культурою і спортом учнями та молоддю, забезпечувати фінансування футбольних команд.</w:t>
      </w:r>
    </w:p>
    <w:p w:rsidR="008E3119" w:rsidRPr="00412EE2" w:rsidRDefault="00DA5AD0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8. </w:t>
      </w:r>
      <w:r w:rsidR="008E3119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п</w:t>
      </w: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ідвезення учасників освітнього </w:t>
      </w:r>
      <w:r w:rsidR="008E3119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процесу до місць роботи, навчання і додому.</w:t>
      </w:r>
    </w:p>
    <w:p w:rsidR="008E3119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 Забезпечити участь учнів (вихованців), педагогічних працівників у </w:t>
      </w:r>
      <w:r w:rsidR="00EE24CE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селищних, </w:t>
      </w: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районних, обласних, всеукраїнських та міжнародних фестивалях, конкурсах, змаганнях, виставках, конференціях тощо.</w:t>
      </w:r>
    </w:p>
    <w:p w:rsidR="008E3119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Забезпечити розвиток сучасного інформаційно-комунікаційного, матеріально-технічного оснащення освітнього процесу в кожному закладі освіти; забезпечення широкого доступу до інформаційних ресурсів Інтернету.</w:t>
      </w:r>
    </w:p>
    <w:p w:rsidR="008E3119" w:rsidRPr="00412EE2" w:rsidRDefault="00DA5AD0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</w:t>
      </w:r>
      <w:r w:rsidR="008E3119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Створювати можливості індивідуального вибору старшокласників відповідно до їх освітніх потреб, нахилів та здібностей через диференціацію навчання у старшій школі, розвиток умов для профільного навчання.</w:t>
      </w:r>
    </w:p>
    <w:p w:rsidR="008E3119" w:rsidRPr="00412EE2" w:rsidRDefault="00DA5AD0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</w:t>
      </w:r>
      <w:r w:rsidR="008E3119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Підвищити рівень організації роботи щодо зміцнення здоров’я учасників </w:t>
      </w:r>
      <w:proofErr w:type="spellStart"/>
      <w:r w:rsidR="008E3119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освітньо-виховного</w:t>
      </w:r>
      <w:proofErr w:type="spellEnd"/>
      <w:r w:rsidR="008E3119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процесу, забезпечити ефективність фізкультурно-оздоровчої роботи.</w:t>
      </w:r>
    </w:p>
    <w:p w:rsidR="008E3119" w:rsidRPr="00412EE2" w:rsidRDefault="00DA5AD0" w:rsidP="000C6FD8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</w:t>
      </w:r>
      <w:r w:rsidR="008E3119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якісне надання додаткових освітніх послуг (логопедія, іноземна мова, хореографія, фізкультурно-спортивна спрямованість).</w:t>
      </w:r>
    </w:p>
    <w:p w:rsidR="00DA5AD0" w:rsidRPr="00412EE2" w:rsidRDefault="000C6FD8" w:rsidP="00412EE2">
      <w:pPr>
        <w:pStyle w:val="a6"/>
        <w:ind w:left="-567" w:right="144" w:firstLine="851"/>
        <w:jc w:val="both"/>
        <w:rPr>
          <w:sz w:val="24"/>
          <w:szCs w:val="24"/>
          <w:lang w:val="uk-UA"/>
        </w:rPr>
      </w:pPr>
      <w:r w:rsidRPr="00412EE2">
        <w:rPr>
          <w:sz w:val="24"/>
          <w:szCs w:val="24"/>
          <w:lang w:val="uk-UA" w:eastAsia="ru-RU"/>
        </w:rPr>
        <w:t>14. В</w:t>
      </w:r>
      <w:r w:rsidRPr="00412EE2">
        <w:rPr>
          <w:sz w:val="24"/>
          <w:szCs w:val="24"/>
          <w:lang w:val="uk-UA"/>
        </w:rPr>
        <w:t>проваджувати інноваційні технології при проведенні фізкультурно-оздоровчої  та  спортивно-масової роботи в закладах освіти.</w:t>
      </w:r>
    </w:p>
    <w:p w:rsidR="008E3119" w:rsidRPr="00412EE2" w:rsidRDefault="008B51B0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8E3119" w:rsidRPr="00412E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Pr="00412E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ОЧІКУВАНІ РЕЗУЛЬТАТИ ПРОГРАМИ</w:t>
      </w:r>
    </w:p>
    <w:p w:rsidR="00DA5AD0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Програми дасть можливість забезпечити перехід освітньої галузі на новий якісний рівень, що сприятиме:</w:t>
      </w:r>
    </w:p>
    <w:p w:rsidR="00DA5AD0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створенню цілісного освітнього середовища, яке надасть широкі можливості кожному учневі реалізувати власні освітні потреби;</w:t>
      </w:r>
    </w:p>
    <w:p w:rsidR="00DA5AD0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створенню ефективних освітніх систем у кожному окремому закладі з урахуванням вимог сучасного суспільства, надання кожній дитині можливості повноцінного розвитку;</w:t>
      </w:r>
    </w:p>
    <w:p w:rsidR="00DA5AD0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впровадженню в освітній процес профільного навчання, як економічно доцільної форми підготовки молоді до майбутнього життя;</w:t>
      </w:r>
    </w:p>
    <w:p w:rsidR="00DA5AD0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формуванню достатньої життєвої компетенції та конкурентної спроможності випускників сільської школи на ринку праці;</w:t>
      </w:r>
    </w:p>
    <w:p w:rsidR="00DA5AD0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вихованню особистості, здатної самостійно приймати рішення та займати активну громадянську позицію;</w:t>
      </w:r>
    </w:p>
    <w:p w:rsidR="00DA5AD0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створенню умов для використання новітніх технологій та виявлення творчої складової в діяльності педагога;</w:t>
      </w:r>
    </w:p>
    <w:p w:rsidR="00DA5AD0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формуванню свідомого ставлення дітей до власного здоров’я та здоров’я інших громадян, як найвищої соціальної цінності; підвищенню рівня фізкультурно-оздоровчої роботи в ЗДО;</w:t>
      </w:r>
    </w:p>
    <w:p w:rsidR="008E3119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– забезпеченню результативності у наданні додаткових освітніх послуг;</w:t>
      </w: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8E3119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V</w:t>
      </w:r>
      <w:r w:rsidR="008B51B0" w:rsidRPr="00412E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І. ДЖЕРЕЛА ФІНАНСУВАННЯ</w:t>
      </w:r>
    </w:p>
    <w:p w:rsidR="008E3119" w:rsidRPr="00412EE2" w:rsidRDefault="008E3119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Фінансування Програми здійснюватиметься в межах централізованих субвенцій з державного та обласного бюджетів на виконання державних, обласних програм у галузі освіти, селищного бюджету та інших джерел, не заборонених законодавством.</w:t>
      </w:r>
    </w:p>
    <w:p w:rsidR="006F16E7" w:rsidRPr="00412EE2" w:rsidRDefault="006F16E7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A5AD0" w:rsidRPr="00412EE2" w:rsidRDefault="00DA5AD0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01E72" w:rsidRDefault="00601E7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12EE2" w:rsidRPr="00412EE2" w:rsidRDefault="00412EE2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F16E7" w:rsidRPr="00412EE2" w:rsidRDefault="006F16E7" w:rsidP="00601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1до Програми</w:t>
      </w:r>
    </w:p>
    <w:p w:rsidR="006F16E7" w:rsidRPr="00412EE2" w:rsidRDefault="006F16E7" w:rsidP="00DA5AD0">
      <w:pPr>
        <w:shd w:val="clear" w:color="auto" w:fill="FFFFFF"/>
        <w:spacing w:before="100" w:beforeAutospacing="1" w:after="100" w:afterAutospacing="1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щодо виконання Програми розвитку освіти</w:t>
      </w:r>
      <w:r w:rsidR="00601E72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молоді та спорту</w:t>
      </w:r>
      <w:r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Калинівської селищної ради </w:t>
      </w:r>
      <w:r w:rsidR="00DA5AD0" w:rsidRPr="00412E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12EE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 2021-2025 роки</w:t>
      </w:r>
    </w:p>
    <w:tbl>
      <w:tblPr>
        <w:tblStyle w:val="a8"/>
        <w:tblW w:w="10348" w:type="dxa"/>
        <w:tblInd w:w="-572" w:type="dxa"/>
        <w:tblLook w:val="04A0" w:firstRow="1" w:lastRow="0" w:firstColumn="1" w:lastColumn="0" w:noHBand="0" w:noVBand="1"/>
      </w:tblPr>
      <w:tblGrid>
        <w:gridCol w:w="1102"/>
        <w:gridCol w:w="4337"/>
        <w:gridCol w:w="3258"/>
        <w:gridCol w:w="1651"/>
      </w:tblGrid>
      <w:tr w:rsidR="009A6A13" w:rsidRPr="00412EE2" w:rsidTr="00C55FFD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    з/п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9A6A13" w:rsidRPr="00412EE2" w:rsidTr="009B4E38">
        <w:trPr>
          <w:trHeight w:val="656"/>
        </w:trPr>
        <w:tc>
          <w:tcPr>
            <w:tcW w:w="10348" w:type="dxa"/>
            <w:gridSpan w:val="4"/>
          </w:tcPr>
          <w:p w:rsidR="009A6A13" w:rsidRPr="00412EE2" w:rsidRDefault="009A6A13" w:rsidP="009A6A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 Рівний доступ до якісної освіти</w:t>
            </w:r>
            <w:bookmarkStart w:id="0" w:name="_GoBack"/>
            <w:bookmarkEnd w:id="0"/>
          </w:p>
        </w:tc>
      </w:tr>
      <w:tr w:rsidR="009A6A13" w:rsidRPr="00412EE2" w:rsidTr="00C55FFD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412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Забезпечувати умови рівної доступності для населення громади, здобуття сучасної повноцінної якісної освіти, що відповідає актуальним і перспективним запитам особистості, суспільства і держави, міжнародним критеріям    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9A6A13" w:rsidRPr="00412EE2" w:rsidTr="00C55FFD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Розвивати мережу  з урахуванням демографічних, економічних, соціальних перспектив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широке використання інформаційних ресурсів Інтернету в освітньому процесі ЗЗСО та ЗДО    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ефективного використання комп’ютерної техніки для викладання навчальних предметів широко використовувати в процесі навчання комп’ютерні програми та електронні підручники   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роботу зі створення умов рівного доступу до приміщень закладів освіти дітей-інвалідів та дітей з обмеженими фізичними можливостями (усунення архітектурних бар’єрів, побудова пандусів, переобладнання навчальних приміщень та решти приміщень соціальної інфраструктури навчальних закладів)  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  потреби дітей, їх батьків та громади щодо здобуття середньої загальної освіти шляхом будівництва, реконструкції,  капітального ремонту, облаштування територій  ЗО</w:t>
            </w:r>
            <w:r w:rsidR="00550A41"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Сформувати у ЗЗСО середовище, сприятливе для збереження здоров’я та забезпечення здорового способу життя учнів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фаховий психолого-педагогічний супровід дітей з </w:t>
            </w: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особливими освітніми потребами у ЗЗСО та ЗДО з інклюзивним навчанням    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пріоритетність системи пошуку, навчання, виховання і підтримки обдарованих учнів через роботу у МАН, участь в олімпіадах, конкурсах, змаганнях, тощо    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Сприяти підготовці учнів до зовнішнього незалежного оцінювання через заняття у факультативах 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державний контроль за ефективністю освітнього процесу і забезпеченням встановленого державою рівня знань, умінь і навичок учнів та охопленням дітей шкільного віку навчанням для здобуття повної загальної середньої освіти</w:t>
            </w:r>
          </w:p>
        </w:tc>
        <w:tc>
          <w:tcPr>
            <w:tcW w:w="3258" w:type="dxa"/>
            <w:vAlign w:val="center"/>
          </w:tcPr>
          <w:p w:rsidR="009A6A13" w:rsidRPr="00412EE2" w:rsidRDefault="00550A41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550A41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550A41" w:rsidRPr="00412EE2" w:rsidTr="00021F62">
        <w:tc>
          <w:tcPr>
            <w:tcW w:w="1102" w:type="dxa"/>
            <w:vAlign w:val="center"/>
          </w:tcPr>
          <w:p w:rsidR="00550A41" w:rsidRPr="00412EE2" w:rsidRDefault="00550A41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337" w:type="dxa"/>
            <w:vAlign w:val="center"/>
          </w:tcPr>
          <w:p w:rsidR="00550A41" w:rsidRPr="00412EE2" w:rsidRDefault="00550A41" w:rsidP="00366C5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вищими навчальними закладами міста Києва (України) для організації філій факультетів довузівської підготовки на базі 10-11 класів</w:t>
            </w:r>
          </w:p>
        </w:tc>
        <w:tc>
          <w:tcPr>
            <w:tcW w:w="3258" w:type="dxa"/>
            <w:vAlign w:val="center"/>
          </w:tcPr>
          <w:p w:rsidR="00550A41" w:rsidRPr="00412EE2" w:rsidRDefault="00366C54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550A41"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550A41" w:rsidRPr="00412EE2" w:rsidRDefault="00550A41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9A6A13" w:rsidRPr="00412EE2" w:rsidTr="009B4E38">
        <w:tc>
          <w:tcPr>
            <w:tcW w:w="10348" w:type="dxa"/>
            <w:gridSpan w:val="4"/>
            <w:vAlign w:val="center"/>
          </w:tcPr>
          <w:p w:rsidR="009A6A13" w:rsidRPr="00412EE2" w:rsidRDefault="009A6A13" w:rsidP="00366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ІІ. Соціальний захист учасників освітнього процесу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безкоштовне підвезення учнів, вихованців ЗДО, вихователів та вчителів, які проживають на відстані понад 3км від закладів освіти, до місця навчання, роботи і додому.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селищної ради,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якісне медичне обслуговування учнів і вчителів, дошкільнят і вихованців згідно з чинним законодавством.    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2021-2025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Створити належні умови для здобуття якісної освіти дітьми – сиротами, дітьми, позбавленими батьківського піклування, дітьми з вадами фізичного та/або розумового розвитку, їх соціальної адаптації   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021F62">
        <w:trPr>
          <w:trHeight w:val="8693"/>
        </w:trPr>
        <w:tc>
          <w:tcPr>
            <w:tcW w:w="1102" w:type="dxa"/>
            <w:vAlign w:val="center"/>
          </w:tcPr>
          <w:p w:rsidR="00C55FFD" w:rsidRPr="00412EE2" w:rsidRDefault="00C55FFD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Передбачати кошти на:</w:t>
            </w:r>
          </w:p>
          <w:p w:rsidR="00C55FFD" w:rsidRPr="00412EE2" w:rsidRDefault="00C55FFD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грошову винагороду педагогічним працівникам за сумлінну працю та зразкове виконання посадових обов’язків (до Дня вчителя, до Дня вихователя);           </w:t>
            </w:r>
          </w:p>
          <w:p w:rsidR="00C55FFD" w:rsidRPr="00412EE2" w:rsidRDefault="00C55FFD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– одноразові грошові винагороди переможцям ІІ, ІІІ і ІV етапів учнівських предметних олімпіад та ІІ і ІІІ етапів конкурсу-захисту науково-дослідницьких робіт учнів-членів МАН, переможцям змагань, конкурсів;                                   </w:t>
            </w:r>
          </w:p>
          <w:p w:rsidR="00C55FFD" w:rsidRPr="00412EE2" w:rsidRDefault="00C55FFD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одноразові грошові винагороди вчителям, які здійснювали якісну підготовку переможців ІІ, ІІІ і ІV етапів учнівських предметних олімпіад та ІІ і ІІІ етапів конкурсу-захисту науково-дослідницьких робіт учнів-членів МАН, переможців змагань, конкурсів; </w:t>
            </w:r>
          </w:p>
          <w:p w:rsidR="00C55FFD" w:rsidRPr="00412EE2" w:rsidRDefault="00C55FFD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-преміювання переможців і призерів конкурсів «Вчитель року», «Класний керівник року», «Вихователь року»,  переможців і призерів всеукраїнських учительських і учнівських конкурсів та різного роду інтелектуальних турнірів    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9A6A13" w:rsidRPr="00412EE2" w:rsidTr="00021F62">
        <w:tc>
          <w:tcPr>
            <w:tcW w:w="1102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37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учнів ЗО гарячим та безкоштовним харчуванням:</w:t>
            </w:r>
          </w:p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-учнів та вихованців пільгових категорій, а саме: </w:t>
            </w:r>
          </w:p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-дітей під опікою; </w:t>
            </w:r>
          </w:p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-дітей з малозабезпечених сімей;</w:t>
            </w:r>
          </w:p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-дітей учасників АТО;</w:t>
            </w:r>
          </w:p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-дітей , які навчаються в інклюзивних класах  </w:t>
            </w:r>
          </w:p>
        </w:tc>
        <w:tc>
          <w:tcPr>
            <w:tcW w:w="3258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</w:t>
            </w:r>
          </w:p>
        </w:tc>
        <w:tc>
          <w:tcPr>
            <w:tcW w:w="1651" w:type="dxa"/>
            <w:vAlign w:val="center"/>
          </w:tcPr>
          <w:p w:rsidR="009A6A13" w:rsidRPr="00412EE2" w:rsidRDefault="009A6A13" w:rsidP="009A6A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фаховий психолого-педагогічний супровід дітей соціально-незахищених категорій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вихованців ЗДО трьохразовим харчуванням. В оздоровчий період поповнити раціон соками, фруктами та свіжими овочами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рада, керівники закладів освіти  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реалізацію заходів щодо зміцнення демократичних засад у діяльності закладів освіти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 освіти  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Забезпечити учням літнє оздоровлення у стаціонарних літніх таборах та шкільних таборах денного перебування, в першу чергу дітей соціально незахищених категорій та обдарованих дітей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9B4E38">
        <w:tc>
          <w:tcPr>
            <w:tcW w:w="10348" w:type="dxa"/>
            <w:gridSpan w:val="4"/>
            <w:vAlign w:val="center"/>
          </w:tcPr>
          <w:p w:rsidR="00C55FFD" w:rsidRPr="00412EE2" w:rsidRDefault="00C55FFD" w:rsidP="00366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ІІІ. Матеріально-технічна та навчально-методична база закладів освіти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Передбачати кошти для проведення реконструкції, капітального, поточного ремонтів закладів освіти, зміцнення їхньої матеріально-технічної та навчально-методичної бази, виконання освітянських програм (окремо по кожному закладу)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селищної ради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550A41" w:rsidRPr="00412EE2" w:rsidTr="00021F62">
        <w:tc>
          <w:tcPr>
            <w:tcW w:w="1102" w:type="dxa"/>
            <w:vAlign w:val="center"/>
          </w:tcPr>
          <w:p w:rsidR="00550A41" w:rsidRPr="00412EE2" w:rsidRDefault="00550A41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37" w:type="dxa"/>
            <w:vAlign w:val="center"/>
          </w:tcPr>
          <w:p w:rsidR="00550A41" w:rsidRPr="00412EE2" w:rsidRDefault="00550A41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облаштування ігрових, </w:t>
            </w:r>
            <w:proofErr w:type="spellStart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спотривних</w:t>
            </w:r>
            <w:proofErr w:type="spellEnd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багатофункціональних майданчиків у ЗО Калинівської селищної ради;</w:t>
            </w:r>
          </w:p>
          <w:p w:rsidR="00550A41" w:rsidRPr="00412EE2" w:rsidRDefault="00550A41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-благоустрій території у ЗО Калинівської селищної ради;</w:t>
            </w:r>
          </w:p>
          <w:p w:rsidR="00550A41" w:rsidRPr="00412EE2" w:rsidRDefault="00366C54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</w:t>
            </w:r>
            <w:r w:rsidR="00550A41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бладнання харчоблоків освітніх закладів згідно вимог НАССР;</w:t>
            </w:r>
          </w:p>
          <w:p w:rsidR="00550A41" w:rsidRPr="00412EE2" w:rsidRDefault="00550A41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оснащення будівель новітньою протипожежною сигналізацією та вирішення відкритих питань по пожежній безпеці у кожному закладі</w:t>
            </w: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50A41" w:rsidRPr="00412EE2" w:rsidRDefault="00550A41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встановлення вентиляційних системи у ЗДО та ЗЗСО;</w:t>
            </w:r>
          </w:p>
          <w:p w:rsidR="00203FDB" w:rsidRPr="00412EE2" w:rsidRDefault="00203FDB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капітальний ремонт котельні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Великосолтанівської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гімназії;</w:t>
            </w:r>
          </w:p>
          <w:p w:rsidR="00203FDB" w:rsidRPr="00412EE2" w:rsidRDefault="00203FDB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благоустрій території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Великосолтанівської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гімназії;</w:t>
            </w:r>
          </w:p>
          <w:p w:rsidR="00203FDB" w:rsidRPr="00412EE2" w:rsidRDefault="00203FDB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емонт приміщення службового житла для вчителів с. Велика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Солтанівка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03FDB" w:rsidRPr="00412EE2" w:rsidRDefault="00203FDB" w:rsidP="00203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озроблення проекту, </w:t>
            </w:r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капільний</w:t>
            </w:r>
            <w:proofErr w:type="spellEnd"/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 приміщення д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итячого дошкільного закладу «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Сміляночка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в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с.Варовичі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(можливо зі створенням в ньому Центру дитячого розвитку);</w:t>
            </w:r>
          </w:p>
          <w:p w:rsidR="00203FDB" w:rsidRPr="00412EE2" w:rsidRDefault="00203FDB" w:rsidP="00203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ремонт системи водопостачання; водовідведення та каналізаційної, насосної станції, освітлення території, капітальний ремонт даху, підлоги у спортзалі, капітальний ремонт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автогаражів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теплиць, капітальний 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ремонт харчоблоку та придбання обладнання для їдальні школи; виділення коштів на ремонт опалубки фундаменту школи; взяття на баланс та ремонт станції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водоочистки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встановлення </w:t>
            </w:r>
            <w:r w:rsidRPr="00412EE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uk-UA"/>
              </w:rPr>
              <w:t xml:space="preserve">спортивного </w:t>
            </w:r>
            <w:r w:rsidRPr="00412EE2">
              <w:rPr>
                <w:rFonts w:ascii="Times New Roman" w:hAnsi="Times New Roman" w:cs="Times New Roman"/>
                <w:color w:val="000000"/>
                <w:spacing w:val="-7"/>
                <w:w w:val="105"/>
                <w:sz w:val="24"/>
                <w:szCs w:val="24"/>
                <w:lang w:val="uk-UA"/>
              </w:rPr>
              <w:t xml:space="preserve">майданчика, 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меблів та обладнання для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Данилівської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03FDB" w:rsidRPr="00412EE2" w:rsidRDefault="00203FDB" w:rsidP="00203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акупівля додаткового обладнання для ігрових майданчиків, встановлення системи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відеонагляду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евакуаційного виходу, освітлення, пожежної сигналізації та належне матеріально- технічне забезпечення ЗДО «Данилко»</w:t>
            </w:r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03FDB" w:rsidRPr="00412EE2" w:rsidRDefault="00203FDB" w:rsidP="00203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аміна покрівлі даху, встановлення водостічних ринв, заміна відмостки навколо будівлі школи, завершення робіт з підключення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свірдловин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покращення водопостачання в школі, завершення ремонту водопостачання заміна твердого покриття подвір’я, капітальний ремонт внутрішніх туалетів для хлопців та для дітей з особливими освітніми потребами, зовнішнє утеплення стін школи, </w:t>
            </w:r>
            <w:bookmarkStart w:id="1" w:name="_Hlk59116466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меблів та обладнання </w:t>
            </w:r>
            <w:bookmarkEnd w:id="1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Кожухівської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 ст.</w:t>
            </w:r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50A41" w:rsidRPr="00412EE2" w:rsidRDefault="00203FDB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Заміна огорожі закладу, перекриття даху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павільону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тіньовий навіс, надвірне освітлення; облаштування тротуарів, ремонт цоколю будівлі, обладнання для ігрових та спортивних майданчиків,    капітальний ремонт та реорганізація (порушення-наявна котельня прибудована до будівлі закладу, що суперечить техніці безпеки), забезпечення пожежної безпеки, капітальний ремонт системи водопостачання, капітальний ремонт системи водовідведення,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блискавковідведення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капітальний ремонт групових приміщень, туалетів, спалень, коридорів та сходів, кабінетів та допоміжних приміщень, заміна вхідних дверей, заміна дверей міжкімнатних, капітальний ремонт пральні  (прасувального катка) та належне матеріально технічне обладнання З</w:t>
            </w:r>
            <w:r w:rsidR="00A97862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«Золотий півник» </w:t>
            </w:r>
            <w:proofErr w:type="spellStart"/>
            <w:r w:rsidR="00A97862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с.Кожухівка</w:t>
            </w:r>
            <w:proofErr w:type="spellEnd"/>
            <w:r w:rsidR="00A97862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50A41" w:rsidRPr="00412EE2" w:rsidRDefault="00550A41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-реконструкція</w:t>
            </w:r>
            <w:proofErr w:type="spellEnd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ОЗО «</w:t>
            </w:r>
            <w:proofErr w:type="spellStart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Калинівський</w:t>
            </w:r>
            <w:proofErr w:type="spellEnd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академічний ліцей» з будівництвом басейну; </w:t>
            </w:r>
          </w:p>
          <w:p w:rsidR="00550A41" w:rsidRPr="00412EE2" w:rsidRDefault="00550A41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реконструкція будівлі </w:t>
            </w:r>
            <w:proofErr w:type="spellStart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Плесецької</w:t>
            </w:r>
            <w:proofErr w:type="spellEnd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ЗОШ з добудовою;</w:t>
            </w:r>
          </w:p>
          <w:p w:rsidR="00A97862" w:rsidRPr="00412EE2" w:rsidRDefault="00550A41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A97862"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Калинівської ЗОШ І-ІІІ ступенів №2;</w:t>
            </w:r>
          </w:p>
          <w:p w:rsidR="00550A41" w:rsidRPr="00412EE2" w:rsidRDefault="00A97862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550A41"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Калинівської ЗОШ №2 з розміщенням ДНЗ;</w:t>
            </w:r>
          </w:p>
          <w:p w:rsidR="00550A41" w:rsidRPr="00412EE2" w:rsidRDefault="00550A41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реконструкція </w:t>
            </w:r>
            <w:proofErr w:type="spellStart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Порадівського</w:t>
            </w:r>
            <w:proofErr w:type="spellEnd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НВК з облаштуванням дошкільної групи;</w:t>
            </w:r>
          </w:p>
          <w:p w:rsidR="00550A41" w:rsidRPr="00412EE2" w:rsidRDefault="00550A41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облаштування накриття багатофункціонального майданчика з прибудовою допоміжної будівлі на території ОЗО «</w:t>
            </w:r>
            <w:proofErr w:type="spellStart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Калинівський</w:t>
            </w:r>
            <w:proofErr w:type="spellEnd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Академічний ліцей»;</w:t>
            </w:r>
          </w:p>
          <w:p w:rsidR="00A97862" w:rsidRPr="00412EE2" w:rsidRDefault="00A97862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Утеплення фасаду 2 приміщень школи та будівництво відмостки навколо приміщення початкових класів, капітальний ремонт харчоблоку  із заміною обладнання, ремонт шкільної котельні, розроблення проекту та встановлення пожежної сигналізація в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Малосолтанівській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ст.;</w:t>
            </w:r>
          </w:p>
          <w:p w:rsidR="00A97862" w:rsidRPr="00412EE2" w:rsidRDefault="00A97862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Виготовлення проекту та будівництво спортивного залу в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Малосолтанівській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ступенів;</w:t>
            </w:r>
          </w:p>
          <w:p w:rsidR="00A97862" w:rsidRPr="00412EE2" w:rsidRDefault="00A97862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Введення в експлуатацію дитячого дошкільного закладу по вул. Першотравнева, 1-6 с. Мала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Солтанівка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97862" w:rsidRPr="00412EE2" w:rsidRDefault="00A97862" w:rsidP="00A97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Облаштування шкільного подвір’я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с.Порадівка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97862" w:rsidRPr="00412EE2" w:rsidRDefault="00A97862" w:rsidP="00A97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ремонт спортивного залу, ремонт даху, заміна підлоги у всіх приміщеннях школи, ремонт або заміна опалювальної системи, встановлення системи відведення дощових вод, встановлення спортивних майданчиків, належне матеріально-технічне забезпечення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Плесецької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ст.;</w:t>
            </w:r>
          </w:p>
          <w:p w:rsidR="00550A41" w:rsidRPr="00412EE2" w:rsidRDefault="00A97862" w:rsidP="00412EE2">
            <w:pPr>
              <w:tabs>
                <w:tab w:val="decimal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Будівництво (реконструкція) стадіону з урахуванням бігової доріжки, що розташований на території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Плесецької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3258" w:type="dxa"/>
            <w:vAlign w:val="center"/>
          </w:tcPr>
          <w:p w:rsidR="00550A41" w:rsidRPr="00412EE2" w:rsidRDefault="00366C54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бюджет селищної ради</w:t>
            </w:r>
          </w:p>
        </w:tc>
        <w:tc>
          <w:tcPr>
            <w:tcW w:w="1651" w:type="dxa"/>
            <w:vAlign w:val="center"/>
          </w:tcPr>
          <w:p w:rsidR="00550A41" w:rsidRPr="00412EE2" w:rsidRDefault="00366C54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D13747" w:rsidRPr="00412EE2" w:rsidTr="00021F62">
        <w:tc>
          <w:tcPr>
            <w:tcW w:w="1102" w:type="dxa"/>
            <w:vAlign w:val="center"/>
          </w:tcPr>
          <w:p w:rsidR="00D13747" w:rsidRPr="00412EE2" w:rsidRDefault="00D13747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37" w:type="dxa"/>
            <w:vAlign w:val="center"/>
          </w:tcPr>
          <w:p w:rsidR="00D13747" w:rsidRPr="00412EE2" w:rsidRDefault="00D13747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Передбачити кошти для забезпечення розвитку молоді та спорту:</w:t>
            </w:r>
          </w:p>
          <w:p w:rsidR="00366C54" w:rsidRPr="00412EE2" w:rsidRDefault="00D13747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створення умов для занять фізичною 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культу</w:t>
            </w:r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рою і спортом учнями та молоддю;</w:t>
            </w:r>
          </w:p>
          <w:p w:rsidR="00D13747" w:rsidRPr="00412EE2" w:rsidRDefault="00366C54" w:rsidP="00550A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13747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фінансування футбольних команд;</w:t>
            </w:r>
          </w:p>
          <w:p w:rsidR="00D13747" w:rsidRPr="00412EE2" w:rsidRDefault="00D13747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р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оснащення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інвентарем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існуючих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спортивних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13747" w:rsidRPr="00412EE2" w:rsidRDefault="00D13747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закупівля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інвентаря</w:t>
            </w:r>
            <w:proofErr w:type="spellEnd"/>
            <w:r w:rsidR="002E3415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закладів освіти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13747" w:rsidRPr="00412EE2" w:rsidRDefault="00D13747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457BC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належне фінансування </w:t>
            </w:r>
            <w:r w:rsidR="009457BC"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9457BC" w:rsidRPr="00412EE2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="009457BC"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7BC" w:rsidRPr="00412EE2">
              <w:rPr>
                <w:rFonts w:ascii="Times New Roman" w:hAnsi="Times New Roman" w:cs="Times New Roman"/>
                <w:sz w:val="24"/>
                <w:szCs w:val="24"/>
              </w:rPr>
              <w:t>футбольних</w:t>
            </w:r>
            <w:proofErr w:type="spellEnd"/>
            <w:r w:rsidR="009457BC"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команд в </w:t>
            </w:r>
            <w:proofErr w:type="spellStart"/>
            <w:r w:rsidR="009457BC" w:rsidRPr="00412EE2">
              <w:rPr>
                <w:rFonts w:ascii="Times New Roman" w:hAnsi="Times New Roman" w:cs="Times New Roman"/>
                <w:sz w:val="24"/>
                <w:szCs w:val="24"/>
              </w:rPr>
              <w:t>змаганнях</w:t>
            </w:r>
            <w:proofErr w:type="spellEnd"/>
            <w:r w:rsidR="009457BC"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з футболу</w:t>
            </w:r>
            <w:r w:rsidR="009457BC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457BC" w:rsidRPr="00412EE2" w:rsidRDefault="009457BC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E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366C54" w:rsidRPr="00412E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удівництво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багато</w:t>
            </w:r>
            <w:proofErr w:type="spellEnd"/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функціонального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майданчика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штучни</w:t>
            </w:r>
            <w:r w:rsidR="00366C54" w:rsidRPr="00412E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366C54"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C54" w:rsidRPr="00412EE2">
              <w:rPr>
                <w:rFonts w:ascii="Times New Roman" w:hAnsi="Times New Roman" w:cs="Times New Roman"/>
                <w:sz w:val="24"/>
                <w:szCs w:val="24"/>
              </w:rPr>
              <w:t>покриттям</w:t>
            </w:r>
            <w:proofErr w:type="spellEnd"/>
            <w:r w:rsidR="00366C54"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66C54" w:rsidRPr="00412EE2">
              <w:rPr>
                <w:rFonts w:ascii="Times New Roman" w:hAnsi="Times New Roman" w:cs="Times New Roman"/>
                <w:sz w:val="24"/>
                <w:szCs w:val="24"/>
              </w:rPr>
              <w:t>стадіон</w:t>
            </w:r>
            <w:proofErr w:type="spellEnd"/>
            <w:r w:rsidR="00366C54"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22*42 м </w:t>
            </w:r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Великосолтанівської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гімназії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6C54"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, 36 (проект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розроблений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gram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пройдена</w:t>
            </w:r>
            <w:proofErr w:type="gram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експертиза</w:t>
            </w:r>
            <w:proofErr w:type="spellEnd"/>
            <w:r w:rsidRPr="00412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13747" w:rsidRPr="00412EE2" w:rsidRDefault="009457BC" w:rsidP="00550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2E3415" w:rsidRPr="00412EE2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="002E3415"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415" w:rsidRPr="00412EE2">
              <w:rPr>
                <w:rFonts w:ascii="Times New Roman" w:hAnsi="Times New Roman" w:cs="Times New Roman"/>
                <w:sz w:val="24"/>
                <w:szCs w:val="24"/>
              </w:rPr>
              <w:t>вуличних</w:t>
            </w:r>
            <w:proofErr w:type="spellEnd"/>
            <w:r w:rsidR="002E3415"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415" w:rsidRPr="00412EE2">
              <w:rPr>
                <w:rFonts w:ascii="Times New Roman" w:hAnsi="Times New Roman" w:cs="Times New Roman"/>
                <w:sz w:val="24"/>
                <w:szCs w:val="24"/>
              </w:rPr>
              <w:t>тренажерів</w:t>
            </w:r>
            <w:proofErr w:type="spellEnd"/>
            <w:r w:rsidR="002E3415"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="002E3415" w:rsidRPr="00412EE2">
              <w:rPr>
                <w:rFonts w:ascii="Times New Roman" w:hAnsi="Times New Roman" w:cs="Times New Roman"/>
                <w:sz w:val="24"/>
                <w:szCs w:val="24"/>
              </w:rPr>
              <w:t>Плесецької</w:t>
            </w:r>
            <w:proofErr w:type="spellEnd"/>
            <w:r w:rsidR="002E3415" w:rsidRPr="00412EE2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</w:t>
            </w:r>
            <w:proofErr w:type="spellStart"/>
            <w:r w:rsidR="002E3415" w:rsidRPr="00412EE2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3258" w:type="dxa"/>
            <w:vAlign w:val="center"/>
          </w:tcPr>
          <w:p w:rsidR="00D13747" w:rsidRPr="00412EE2" w:rsidRDefault="00D13747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vAlign w:val="center"/>
          </w:tcPr>
          <w:p w:rsidR="00D13747" w:rsidRPr="00412EE2" w:rsidRDefault="00D13747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Забезпечувати 100% навчальними комп’ютерними комплексами ЗЗДО, систематичне оновлення та модернізацію наявного парку комп’ютерної техніки; комплектування закладів ліцензійним програмним забезпеченням 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ЗДО сучасними меблями відповідно до санітарно-гігієнічних та естетичних вимог, створити сприятливі та комфортні умови для організації освітнього процесу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Передбачати кошти для створення предметно-розвивального середовища у групах ЗДО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2021-2025 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Передбачати в бюджетні кошти на оснащення спортзалів спортінвентарем, реконструкцію спортмайданчиків, будівництвом багатофункціональних майданчиків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роботу щодо реалізації проекту із забезпечення закладів освіти мультимедійною технікою і електронними засобами навчання, переоснащення кабінетів інформатики та інформаційно-комунікаційних технологій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освіти,  селищна рада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Передбачити кошти для розвитку </w:t>
            </w: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позашкільної освіти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селищна рада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Передбачити кошти на виготовлення актів постійного землекористування закладів освіти.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021F62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закупівлю обладнання для кабінетів ЗЗСО Калинівської селищної ради 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освіти, селищна рада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9B4E38">
        <w:tc>
          <w:tcPr>
            <w:tcW w:w="10348" w:type="dxa"/>
            <w:gridSpan w:val="4"/>
            <w:vAlign w:val="center"/>
          </w:tcPr>
          <w:p w:rsidR="00C55FFD" w:rsidRPr="00412EE2" w:rsidRDefault="00C55FFD" w:rsidP="00C55F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ІV. Забезпечення національно-патріотичного виховання  дітей та молоді, впровадження здоров’язберігаючих технологій</w:t>
            </w:r>
          </w:p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виховання учнівської молоді на основі традицій і звичаїв українського народу, вивчення його історичної та культурної спадщини, формування у підростаючого покоління високої патріотичної свідомості, готовності до виконання громадянських і конституційних обов’язків, поваги до державних символів України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Удосконалювати фізкультурно-оздоровчу та спортивно-масову роботу в закладах освіти (розширення кількості спортивних гуртків, секцій і клубів з обов’язковим кадровим, фінансовим, матеріально-технічним забезпеченням їх діяльності)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Передбачити кошти для участі учнів шкіл, вихованців позашкільних закладів в комплексних навчально-виховних заходах (конкурсах, фестивалях, виставках тощо), спортивних змаганнях, військово-спортивних іграх, </w:t>
            </w:r>
            <w:proofErr w:type="spellStart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спартакіадах</w:t>
            </w:r>
            <w:proofErr w:type="spellEnd"/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селищного, районного, обласного та всеукраїнського, міжнародного рівнів на оплату внесків, харчування, проживання, доїзди тощо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Піднести якість проведення організованих занять фізкультурою і спортом учнів, вихованців із урахуванням індивідуальних фізичних можливостей і особливостей дітей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освіти, селищна рада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постійно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Впроваджувати в практику роботи нетрадиційні методи, методики, альтернативні технології, освітні програми щодо формування здорового способу життя дошкільників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заклади дошкільної освіти науково-методичною літературою з патріотичного та фізичного виховання.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оновлення фондів шкільних бібліотек національно-патріотичною літературою про приклади героїчної боротьби Українського народу за самовизначення і творення власної держави, ідеали свободи, соборності та державності.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освіти, селищна рада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Активізувати роботу щодо створення пришкільних музеїв  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Налаштувати координаційну роботу по військово-патріотичному вихованню між керівниками ЗЗСО та ветеранами ООС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9B4E38">
        <w:tc>
          <w:tcPr>
            <w:tcW w:w="10348" w:type="dxa"/>
            <w:gridSpan w:val="4"/>
            <w:vAlign w:val="center"/>
          </w:tcPr>
          <w:p w:rsidR="00C55FFD" w:rsidRPr="00412EE2" w:rsidRDefault="00C55FFD" w:rsidP="00C55F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V. Педагогічні  кадри. Післядипломна  педагогічна  освіта</w:t>
            </w:r>
          </w:p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Щороку аналізувати стан забезпечення закладів загальної середньої освіти педагогічними кадрами. Формувати заявки на потребу педагогічних кадрів не менше, як на 3-річну перспективу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освіти, селищна рада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координаційну роботу щодо укладання договорів між закладами загальної середньої освіти і вищими навчальними закладами про курсову перепідготовку вчителів.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освіти, селищна рада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підготовку та перепідготовку керівних і педагогічних кадрів щодо використання інформаційно-комунікаційних технологій в управлінні і організації освітнього  процесу;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освіти, селищна рада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вчителів початкових класів до роботи в Новій українській школі 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освіти, селищна рада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9379C5" w:rsidRPr="00412EE2" w:rsidTr="00402E5F">
        <w:tc>
          <w:tcPr>
            <w:tcW w:w="10348" w:type="dxa"/>
            <w:gridSpan w:val="4"/>
            <w:vAlign w:val="center"/>
          </w:tcPr>
          <w:p w:rsidR="009379C5" w:rsidRPr="00412EE2" w:rsidRDefault="009379C5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VI. Інформаційна підтримка</w:t>
            </w:r>
          </w:p>
        </w:tc>
      </w:tr>
      <w:tr w:rsidR="009379C5" w:rsidRPr="00412EE2" w:rsidTr="00C55FFD">
        <w:tc>
          <w:tcPr>
            <w:tcW w:w="1102" w:type="dxa"/>
            <w:vAlign w:val="center"/>
          </w:tcPr>
          <w:p w:rsidR="009379C5" w:rsidRPr="00412EE2" w:rsidRDefault="009379C5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37" w:type="dxa"/>
            <w:vAlign w:val="center"/>
          </w:tcPr>
          <w:p w:rsidR="009379C5" w:rsidRPr="00412EE2" w:rsidRDefault="009379C5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Передбачити кошти</w:t>
            </w:r>
            <w:r w:rsidR="003530BC"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виконання ЗУ «Про освіту» (зі змінами) ст. 30</w:t>
            </w:r>
            <w:r w:rsidR="003530BC"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підтримку інформацій</w:t>
            </w:r>
          </w:p>
          <w:p w:rsidR="009379C5" w:rsidRPr="00412EE2" w:rsidRDefault="009379C5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створення та обслуговування веб-сайтів закладів освіти;</w:t>
            </w:r>
          </w:p>
          <w:p w:rsidR="009379C5" w:rsidRPr="00412EE2" w:rsidRDefault="009379C5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закупівля спеціалізованих технічних програм та технічного забезпечення;</w:t>
            </w:r>
          </w:p>
          <w:p w:rsidR="009379C5" w:rsidRPr="00412EE2" w:rsidRDefault="009379C5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оформлення інформаційного </w:t>
            </w: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супроводу;</w:t>
            </w:r>
          </w:p>
          <w:p w:rsidR="009379C5" w:rsidRPr="00412EE2" w:rsidRDefault="003530BC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</w:t>
            </w:r>
            <w:r w:rsidR="009379C5"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иготовлення рекламної та сувенірної продукції відділу освіти м</w:t>
            </w:r>
            <w:r w:rsidR="000E1896"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олоді та спорту;</w:t>
            </w:r>
          </w:p>
        </w:tc>
        <w:tc>
          <w:tcPr>
            <w:tcW w:w="3258" w:type="dxa"/>
            <w:vAlign w:val="center"/>
          </w:tcPr>
          <w:p w:rsidR="009379C5" w:rsidRPr="00412EE2" w:rsidRDefault="009379C5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1" w:type="dxa"/>
            <w:vAlign w:val="center"/>
          </w:tcPr>
          <w:p w:rsidR="009379C5" w:rsidRPr="00412EE2" w:rsidRDefault="009379C5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5FFD" w:rsidRPr="00412EE2" w:rsidTr="009B4E38">
        <w:tc>
          <w:tcPr>
            <w:tcW w:w="10348" w:type="dxa"/>
            <w:gridSpan w:val="4"/>
            <w:vAlign w:val="center"/>
          </w:tcPr>
          <w:p w:rsidR="00C55FFD" w:rsidRPr="00412EE2" w:rsidRDefault="00C55FFD" w:rsidP="00C55F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VI</w:t>
            </w:r>
            <w:r w:rsidR="009379C5" w:rsidRPr="00412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412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Міжнародне партнерство</w:t>
            </w:r>
          </w:p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Розширити участь навчальних закладів, педагогів та учнів у різних проектах і програмах міжнародних організацій та співтовариств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 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постійно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2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Передбачити кошти для участі учнів шкіл, педагогічних працівників, працівників установ освіти в комплексних навчально-виховних заходах (конкурсах, фестивалях, виставках тощо), спортивних змаганнях міжнародного рівня на оплату внесків, харчування, проживання, доїзди тощо   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селищна рада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  <w:tr w:rsidR="00C55FFD" w:rsidRPr="00412EE2" w:rsidTr="00C55FFD">
        <w:tc>
          <w:tcPr>
            <w:tcW w:w="1102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3</w:t>
            </w:r>
          </w:p>
        </w:tc>
        <w:tc>
          <w:tcPr>
            <w:tcW w:w="4337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вивчення та поширення міжнародного передового педагогічного досвіду та міжнародних закладів освіти у сфері професійного вдосконалення підготовки педагогів  </w:t>
            </w:r>
          </w:p>
        </w:tc>
        <w:tc>
          <w:tcPr>
            <w:tcW w:w="3258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 освіти   </w:t>
            </w:r>
          </w:p>
        </w:tc>
        <w:tc>
          <w:tcPr>
            <w:tcW w:w="1651" w:type="dxa"/>
            <w:vAlign w:val="center"/>
          </w:tcPr>
          <w:p w:rsidR="00C55FFD" w:rsidRPr="00412EE2" w:rsidRDefault="00C55FFD" w:rsidP="00C55F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12E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</w:t>
            </w:r>
          </w:p>
        </w:tc>
      </w:tr>
    </w:tbl>
    <w:p w:rsidR="006F16E7" w:rsidRPr="00412EE2" w:rsidRDefault="006F16E7">
      <w:pPr>
        <w:rPr>
          <w:sz w:val="24"/>
          <w:szCs w:val="24"/>
          <w:lang w:val="uk-UA"/>
        </w:rPr>
      </w:pPr>
    </w:p>
    <w:p w:rsidR="00DF3426" w:rsidRPr="00412EE2" w:rsidRDefault="00DF3426" w:rsidP="0076490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426" w:rsidRPr="00412EE2" w:rsidRDefault="00DF3426" w:rsidP="0076490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426" w:rsidRPr="00412EE2" w:rsidRDefault="00DF3426" w:rsidP="0076490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F3426" w:rsidRPr="00412EE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1D" w:rsidRDefault="0044091D">
      <w:pPr>
        <w:spacing w:after="0" w:line="240" w:lineRule="auto"/>
      </w:pPr>
      <w:r>
        <w:separator/>
      </w:r>
    </w:p>
  </w:endnote>
  <w:endnote w:type="continuationSeparator" w:id="0">
    <w:p w:rsidR="0044091D" w:rsidRDefault="0044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1" w:rsidRDefault="00550A4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1" w:rsidRDefault="00550A4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1" w:rsidRDefault="00550A4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1D" w:rsidRDefault="0044091D">
      <w:pPr>
        <w:spacing w:after="0" w:line="240" w:lineRule="auto"/>
      </w:pPr>
      <w:r>
        <w:separator/>
      </w:r>
    </w:p>
  </w:footnote>
  <w:footnote w:type="continuationSeparator" w:id="0">
    <w:p w:rsidR="0044091D" w:rsidRDefault="0044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1" w:rsidRDefault="00550A4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1" w:rsidRPr="00675835" w:rsidRDefault="00550A41" w:rsidP="009B4E38">
    <w:pPr>
      <w:pStyle w:val="ac"/>
      <w:ind w:left="4536"/>
      <w:rPr>
        <w:rFonts w:ascii="Times New Roman" w:hAnsi="Times New Roman" w:cs="Times New Roman"/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41" w:rsidRDefault="00550A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4C8"/>
    <w:multiLevelType w:val="hybridMultilevel"/>
    <w:tmpl w:val="5BC2BB00"/>
    <w:lvl w:ilvl="0" w:tplc="5646533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452B4"/>
    <w:multiLevelType w:val="hybridMultilevel"/>
    <w:tmpl w:val="857A087A"/>
    <w:lvl w:ilvl="0" w:tplc="21A4D33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83383"/>
    <w:multiLevelType w:val="hybridMultilevel"/>
    <w:tmpl w:val="2F66EC1C"/>
    <w:lvl w:ilvl="0" w:tplc="72A0DC98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 w:val="0"/>
        <w:color w:val="000000" w:themeColor="text1"/>
        <w:w w:val="100"/>
        <w:sz w:val="28"/>
        <w:szCs w:val="28"/>
      </w:rPr>
    </w:lvl>
    <w:lvl w:ilvl="1" w:tplc="1BC2641A">
      <w:start w:val="1"/>
      <w:numFmt w:val="bullet"/>
      <w:lvlText w:val="•"/>
      <w:lvlJc w:val="left"/>
      <w:pPr>
        <w:ind w:left="961" w:hanging="281"/>
      </w:pPr>
      <w:rPr>
        <w:rFonts w:hint="default"/>
      </w:rPr>
    </w:lvl>
    <w:lvl w:ilvl="2" w:tplc="BAC6D77C">
      <w:start w:val="1"/>
      <w:numFmt w:val="bullet"/>
      <w:lvlText w:val="•"/>
      <w:lvlJc w:val="left"/>
      <w:pPr>
        <w:ind w:left="1645" w:hanging="281"/>
      </w:pPr>
      <w:rPr>
        <w:rFonts w:hint="default"/>
      </w:rPr>
    </w:lvl>
    <w:lvl w:ilvl="3" w:tplc="2A8EDEA6">
      <w:start w:val="1"/>
      <w:numFmt w:val="bullet"/>
      <w:lvlText w:val="•"/>
      <w:lvlJc w:val="left"/>
      <w:pPr>
        <w:ind w:left="2328" w:hanging="281"/>
      </w:pPr>
      <w:rPr>
        <w:rFonts w:hint="default"/>
      </w:rPr>
    </w:lvl>
    <w:lvl w:ilvl="4" w:tplc="074EAF76">
      <w:start w:val="1"/>
      <w:numFmt w:val="bullet"/>
      <w:lvlText w:val="•"/>
      <w:lvlJc w:val="left"/>
      <w:pPr>
        <w:ind w:left="3012" w:hanging="281"/>
      </w:pPr>
      <w:rPr>
        <w:rFonts w:hint="default"/>
      </w:rPr>
    </w:lvl>
    <w:lvl w:ilvl="5" w:tplc="AFAA9D9E">
      <w:start w:val="1"/>
      <w:numFmt w:val="bullet"/>
      <w:lvlText w:val="•"/>
      <w:lvlJc w:val="left"/>
      <w:pPr>
        <w:ind w:left="3696" w:hanging="281"/>
      </w:pPr>
      <w:rPr>
        <w:rFonts w:hint="default"/>
      </w:rPr>
    </w:lvl>
    <w:lvl w:ilvl="6" w:tplc="3F02BBAE">
      <w:start w:val="1"/>
      <w:numFmt w:val="bullet"/>
      <w:lvlText w:val="•"/>
      <w:lvlJc w:val="left"/>
      <w:pPr>
        <w:ind w:left="4379" w:hanging="281"/>
      </w:pPr>
      <w:rPr>
        <w:rFonts w:hint="default"/>
      </w:rPr>
    </w:lvl>
    <w:lvl w:ilvl="7" w:tplc="9D92896C">
      <w:start w:val="1"/>
      <w:numFmt w:val="bullet"/>
      <w:lvlText w:val="•"/>
      <w:lvlJc w:val="left"/>
      <w:pPr>
        <w:ind w:left="5063" w:hanging="281"/>
      </w:pPr>
      <w:rPr>
        <w:rFonts w:hint="default"/>
      </w:rPr>
    </w:lvl>
    <w:lvl w:ilvl="8" w:tplc="89C829AE">
      <w:start w:val="1"/>
      <w:numFmt w:val="bullet"/>
      <w:lvlText w:val="•"/>
      <w:lvlJc w:val="left"/>
      <w:pPr>
        <w:ind w:left="5746" w:hanging="28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BA"/>
    <w:rsid w:val="00021F62"/>
    <w:rsid w:val="00062754"/>
    <w:rsid w:val="000C6FD8"/>
    <w:rsid w:val="000E1896"/>
    <w:rsid w:val="00106F9D"/>
    <w:rsid w:val="00203FDB"/>
    <w:rsid w:val="00237E96"/>
    <w:rsid w:val="00296C1E"/>
    <w:rsid w:val="002E3415"/>
    <w:rsid w:val="002F683B"/>
    <w:rsid w:val="003530BC"/>
    <w:rsid w:val="00366C54"/>
    <w:rsid w:val="003E3196"/>
    <w:rsid w:val="00412EE2"/>
    <w:rsid w:val="00424490"/>
    <w:rsid w:val="0044091D"/>
    <w:rsid w:val="00485F6C"/>
    <w:rsid w:val="004B4187"/>
    <w:rsid w:val="00550A41"/>
    <w:rsid w:val="00574645"/>
    <w:rsid w:val="00601E72"/>
    <w:rsid w:val="00684CBA"/>
    <w:rsid w:val="006A3194"/>
    <w:rsid w:val="006F16E7"/>
    <w:rsid w:val="00762D3B"/>
    <w:rsid w:val="0076490F"/>
    <w:rsid w:val="008B51B0"/>
    <w:rsid w:val="008C6D37"/>
    <w:rsid w:val="008E3119"/>
    <w:rsid w:val="009379C5"/>
    <w:rsid w:val="00942F12"/>
    <w:rsid w:val="009457BC"/>
    <w:rsid w:val="009A6A13"/>
    <w:rsid w:val="009B4E38"/>
    <w:rsid w:val="00A46A71"/>
    <w:rsid w:val="00A57683"/>
    <w:rsid w:val="00A86834"/>
    <w:rsid w:val="00A97862"/>
    <w:rsid w:val="00AC3E07"/>
    <w:rsid w:val="00B13434"/>
    <w:rsid w:val="00B94F40"/>
    <w:rsid w:val="00BA1F05"/>
    <w:rsid w:val="00C3414D"/>
    <w:rsid w:val="00C55FFD"/>
    <w:rsid w:val="00CA4ADE"/>
    <w:rsid w:val="00CA7A44"/>
    <w:rsid w:val="00D13747"/>
    <w:rsid w:val="00DA5AD0"/>
    <w:rsid w:val="00DB2193"/>
    <w:rsid w:val="00DF3426"/>
    <w:rsid w:val="00E91596"/>
    <w:rsid w:val="00EE24CE"/>
    <w:rsid w:val="00F9654F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3414D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CBA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3414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uiPriority w:val="1"/>
    <w:qFormat/>
    <w:rsid w:val="00C3414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rsid w:val="00B94F40"/>
    <w:pPr>
      <w:widowControl w:val="0"/>
      <w:spacing w:after="0" w:line="240" w:lineRule="auto"/>
      <w:ind w:left="100" w:firstLine="719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B94F40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8">
    <w:name w:val="Table Grid"/>
    <w:basedOn w:val="a1"/>
    <w:uiPriority w:val="39"/>
    <w:rsid w:val="008E3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3196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A7A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Title"/>
    <w:basedOn w:val="a"/>
    <w:next w:val="a"/>
    <w:link w:val="ab"/>
    <w:uiPriority w:val="10"/>
    <w:qFormat/>
    <w:rsid w:val="009B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9B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header"/>
    <w:basedOn w:val="a"/>
    <w:link w:val="ad"/>
    <w:uiPriority w:val="99"/>
    <w:unhideWhenUsed/>
    <w:rsid w:val="009B4E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B4E3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B4E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B4E3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3414D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CBA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3414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No Spacing"/>
    <w:uiPriority w:val="1"/>
    <w:qFormat/>
    <w:rsid w:val="00C3414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rsid w:val="00B94F40"/>
    <w:pPr>
      <w:widowControl w:val="0"/>
      <w:spacing w:after="0" w:line="240" w:lineRule="auto"/>
      <w:ind w:left="100" w:firstLine="719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B94F40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8">
    <w:name w:val="Table Grid"/>
    <w:basedOn w:val="a1"/>
    <w:uiPriority w:val="39"/>
    <w:rsid w:val="008E3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E3196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A7A4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Title"/>
    <w:basedOn w:val="a"/>
    <w:next w:val="a"/>
    <w:link w:val="ab"/>
    <w:uiPriority w:val="10"/>
    <w:qFormat/>
    <w:rsid w:val="009B4E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9B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header"/>
    <w:basedOn w:val="a"/>
    <w:link w:val="ad"/>
    <w:uiPriority w:val="99"/>
    <w:unhideWhenUsed/>
    <w:rsid w:val="009B4E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B4E3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B4E3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B4E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ua/images/files/doshkilna-cerednya/doshkilna/norm-prav/305.doc" TargetMode="External"/><Relationship Id="rId13" Type="http://schemas.openxmlformats.org/officeDocument/2006/relationships/hyperlink" Target="http://zakon.rada.gov.ua/go/872-2011-%D0%BF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old.iitzo.gov.ua/files/postanova_kmu_06052001_433.do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on.gov.ua/images/files/doshkilna-cerednya/serednya/baza/navch_kab.doc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ld.iitzo.gov.ua/files/postanova_kmu_06052001_433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on.gov.ua/images/files/doshkilna-cerednya/serednya/baza/navch_kab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ld.iitzo.gov.ua/files/postanova_kmu_06052001_433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n.gov.ua/images/files/doshkilna-cerednya/doshkilna/norm-prav/305.doc" TargetMode="External"/><Relationship Id="rId14" Type="http://schemas.openxmlformats.org/officeDocument/2006/relationships/hyperlink" Target="http://zakon.rada.gov.ua/go/872-2011-%D0%B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19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№1</cp:lastModifiedBy>
  <cp:revision>20</cp:revision>
  <dcterms:created xsi:type="dcterms:W3CDTF">2020-12-17T07:23:00Z</dcterms:created>
  <dcterms:modified xsi:type="dcterms:W3CDTF">2020-12-22T19:53:00Z</dcterms:modified>
</cp:coreProperties>
</file>